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0D560" w14:textId="6EA2AD7C" w:rsidR="00F53146" w:rsidRDefault="003236E0">
      <w:pPr>
        <w:rPr>
          <w:rFonts w:ascii="Verdana" w:hAnsi="Verdana"/>
          <w:sz w:val="18"/>
          <w:szCs w:val="18"/>
        </w:rPr>
      </w:pPr>
      <w:r w:rsidRPr="00EE7157">
        <w:rPr>
          <w:rFonts w:ascii="Verdana" w:hAnsi="Verdana"/>
          <w:sz w:val="18"/>
          <w:szCs w:val="18"/>
        </w:rPr>
        <w:t>Sehr ge</w:t>
      </w:r>
      <w:r w:rsidR="009105B4">
        <w:rPr>
          <w:rFonts w:ascii="Verdana" w:hAnsi="Verdana"/>
          <w:sz w:val="18"/>
          <w:szCs w:val="18"/>
        </w:rPr>
        <w:t>schätzter Trend 200-Investor,</w:t>
      </w:r>
      <w:r w:rsidRPr="00EE7157">
        <w:rPr>
          <w:rFonts w:ascii="Verdana" w:hAnsi="Verdana"/>
          <w:sz w:val="18"/>
          <w:szCs w:val="18"/>
        </w:rPr>
        <w:br/>
      </w:r>
      <w:r w:rsidRPr="00EE7157">
        <w:rPr>
          <w:rFonts w:ascii="Verdana" w:hAnsi="Verdana"/>
          <w:sz w:val="18"/>
          <w:szCs w:val="18"/>
        </w:rPr>
        <w:br/>
      </w:r>
      <w:r w:rsidR="00F53146">
        <w:rPr>
          <w:rFonts w:ascii="Verdana" w:hAnsi="Verdana"/>
          <w:sz w:val="18"/>
          <w:szCs w:val="18"/>
        </w:rPr>
        <w:t>seit</w:t>
      </w:r>
      <w:r w:rsidR="00987C85">
        <w:rPr>
          <w:rFonts w:ascii="Verdana" w:hAnsi="Verdana"/>
          <w:sz w:val="18"/>
          <w:szCs w:val="18"/>
        </w:rPr>
        <w:t xml:space="preserve"> L</w:t>
      </w:r>
      <w:r w:rsidR="00F53146">
        <w:rPr>
          <w:rFonts w:ascii="Verdana" w:hAnsi="Verdana"/>
          <w:sz w:val="18"/>
          <w:szCs w:val="18"/>
        </w:rPr>
        <w:t>ängerem genießen Sie mit Ihrer Investition in einer der Patriarch Trend 200 Fonds</w:t>
      </w:r>
      <w:r w:rsidR="00987C85">
        <w:rPr>
          <w:rFonts w:ascii="Verdana" w:hAnsi="Verdana"/>
          <w:sz w:val="18"/>
          <w:szCs w:val="18"/>
        </w:rPr>
        <w:t>v</w:t>
      </w:r>
      <w:r w:rsidR="00F53146">
        <w:rPr>
          <w:rFonts w:ascii="Verdana" w:hAnsi="Verdana"/>
          <w:sz w:val="18"/>
          <w:szCs w:val="18"/>
        </w:rPr>
        <w:t>ermögensverwaltungs-Strategien das gute Gefühl, dass in fallenden Börsen Ihre Investition außerhalb des Börsenrisikos</w:t>
      </w:r>
      <w:r w:rsidR="00987C85">
        <w:rPr>
          <w:rFonts w:ascii="Verdana" w:hAnsi="Verdana"/>
          <w:sz w:val="18"/>
          <w:szCs w:val="18"/>
        </w:rPr>
        <w:t xml:space="preserve"> in Geldmarktfonds</w:t>
      </w:r>
      <w:r w:rsidR="00F53146">
        <w:rPr>
          <w:rFonts w:ascii="Verdana" w:hAnsi="Verdana"/>
          <w:sz w:val="18"/>
          <w:szCs w:val="18"/>
        </w:rPr>
        <w:t xml:space="preserve"> geparkt </w:t>
      </w:r>
      <w:r w:rsidR="0092379D">
        <w:rPr>
          <w:rFonts w:ascii="Verdana" w:hAnsi="Verdana"/>
          <w:sz w:val="18"/>
          <w:szCs w:val="18"/>
        </w:rPr>
        <w:t>wird</w:t>
      </w:r>
      <w:r w:rsidR="00F53146">
        <w:rPr>
          <w:rFonts w:ascii="Verdana" w:hAnsi="Verdana"/>
          <w:sz w:val="18"/>
          <w:szCs w:val="18"/>
        </w:rPr>
        <w:t>. Dies hat in den vergangenen Jahren – die Trend 200 Absicherungs-Strategie wurde per 01.08.2011 am Markt lanciert – sehr ordentlich funktioniert</w:t>
      </w:r>
      <w:r w:rsidR="00987C85">
        <w:rPr>
          <w:rFonts w:ascii="Verdana" w:hAnsi="Verdana"/>
          <w:sz w:val="18"/>
          <w:szCs w:val="18"/>
        </w:rPr>
        <w:t xml:space="preserve"> (</w:t>
      </w:r>
      <w:r w:rsidR="00987C85" w:rsidRPr="00A23A33">
        <w:rPr>
          <w:rFonts w:ascii="Verdana" w:hAnsi="Verdana"/>
          <w:b/>
          <w:bCs/>
          <w:sz w:val="18"/>
          <w:szCs w:val="18"/>
        </w:rPr>
        <w:t>siehe beigefügte Grafik 1</w:t>
      </w:r>
      <w:r w:rsidR="00987C85">
        <w:rPr>
          <w:rFonts w:ascii="Verdana" w:hAnsi="Verdana"/>
          <w:sz w:val="18"/>
          <w:szCs w:val="18"/>
        </w:rPr>
        <w:t>)</w:t>
      </w:r>
      <w:r w:rsidR="00F53146">
        <w:rPr>
          <w:rFonts w:ascii="Verdana" w:hAnsi="Verdana"/>
          <w:sz w:val="18"/>
          <w:szCs w:val="18"/>
        </w:rPr>
        <w:t xml:space="preserve">. Auch </w:t>
      </w:r>
      <w:r w:rsidR="00987C85">
        <w:rPr>
          <w:rFonts w:ascii="Verdana" w:hAnsi="Verdana"/>
          <w:sz w:val="18"/>
          <w:szCs w:val="18"/>
        </w:rPr>
        <w:t xml:space="preserve">das </w:t>
      </w:r>
      <w:r w:rsidR="0092379D">
        <w:rPr>
          <w:rFonts w:ascii="Verdana" w:hAnsi="Verdana"/>
          <w:sz w:val="18"/>
          <w:szCs w:val="18"/>
        </w:rPr>
        <w:t xml:space="preserve">Timing beim </w:t>
      </w:r>
      <w:r w:rsidR="00F53146">
        <w:rPr>
          <w:rFonts w:ascii="Verdana" w:hAnsi="Verdana"/>
          <w:sz w:val="18"/>
          <w:szCs w:val="18"/>
        </w:rPr>
        <w:t xml:space="preserve">Wiedereinstieg in die Märkte </w:t>
      </w:r>
      <w:r w:rsidR="0092379D">
        <w:rPr>
          <w:rFonts w:ascii="Verdana" w:hAnsi="Verdana"/>
          <w:sz w:val="18"/>
          <w:szCs w:val="18"/>
        </w:rPr>
        <w:t xml:space="preserve">war </w:t>
      </w:r>
      <w:r w:rsidR="00F53146">
        <w:rPr>
          <w:rFonts w:ascii="Verdana" w:hAnsi="Verdana"/>
          <w:sz w:val="18"/>
          <w:szCs w:val="18"/>
        </w:rPr>
        <w:t xml:space="preserve">bis ins Jahr 2018 hinein </w:t>
      </w:r>
      <w:r w:rsidR="00987C85">
        <w:rPr>
          <w:rFonts w:ascii="Verdana" w:hAnsi="Verdana"/>
          <w:sz w:val="18"/>
          <w:szCs w:val="18"/>
        </w:rPr>
        <w:t>tadellos</w:t>
      </w:r>
      <w:r w:rsidR="0092379D">
        <w:rPr>
          <w:rFonts w:ascii="Verdana" w:hAnsi="Verdana"/>
          <w:sz w:val="18"/>
          <w:szCs w:val="18"/>
        </w:rPr>
        <w:t>.</w:t>
      </w:r>
    </w:p>
    <w:p w14:paraId="3B9D0D4D" w14:textId="68CD0DA0" w:rsidR="002A60EA" w:rsidRDefault="00F5314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Seit dem Jahreswechsel 2018</w:t>
      </w:r>
      <w:r w:rsidR="0092379D"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t>19 und de</w:t>
      </w:r>
      <w:r w:rsidR="0092379D">
        <w:rPr>
          <w:rFonts w:ascii="Verdana" w:hAnsi="Verdana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 xml:space="preserve"> Corona-Crash</w:t>
      </w:r>
      <w:r w:rsidR="0092379D">
        <w:rPr>
          <w:rFonts w:ascii="Verdana" w:hAnsi="Verdana"/>
          <w:sz w:val="18"/>
          <w:szCs w:val="18"/>
        </w:rPr>
        <w:t xml:space="preserve"> 2020,</w:t>
      </w:r>
      <w:r>
        <w:rPr>
          <w:rFonts w:ascii="Verdana" w:hAnsi="Verdana"/>
          <w:sz w:val="18"/>
          <w:szCs w:val="18"/>
        </w:rPr>
        <w:t xml:space="preserve"> konnte man an den Börsen </w:t>
      </w:r>
      <w:r w:rsidR="00987C85">
        <w:rPr>
          <w:rFonts w:ascii="Verdana" w:hAnsi="Verdana"/>
          <w:sz w:val="18"/>
          <w:szCs w:val="18"/>
        </w:rPr>
        <w:t xml:space="preserve">allerdings </w:t>
      </w:r>
      <w:r>
        <w:rPr>
          <w:rFonts w:ascii="Verdana" w:hAnsi="Verdana"/>
          <w:sz w:val="18"/>
          <w:szCs w:val="18"/>
        </w:rPr>
        <w:t>ein bisher so noch nicht zu beobachtendes Phänomen</w:t>
      </w:r>
      <w:r w:rsidR="002A60EA">
        <w:rPr>
          <w:rFonts w:ascii="Verdana" w:hAnsi="Verdana"/>
          <w:sz w:val="18"/>
          <w:szCs w:val="18"/>
        </w:rPr>
        <w:t>, die sogenannte „V-Formation“</w:t>
      </w:r>
      <w:r>
        <w:rPr>
          <w:rFonts w:ascii="Verdana" w:hAnsi="Verdana"/>
          <w:sz w:val="18"/>
          <w:szCs w:val="18"/>
        </w:rPr>
        <w:t xml:space="preserve"> erleben</w:t>
      </w:r>
      <w:r w:rsidR="00987C85">
        <w:rPr>
          <w:rFonts w:ascii="Verdana" w:hAnsi="Verdana"/>
          <w:sz w:val="18"/>
          <w:szCs w:val="18"/>
        </w:rPr>
        <w:t xml:space="preserve"> (</w:t>
      </w:r>
      <w:r w:rsidR="00987C85" w:rsidRPr="00A23A33">
        <w:rPr>
          <w:rFonts w:ascii="Verdana" w:hAnsi="Verdana"/>
          <w:b/>
          <w:bCs/>
          <w:sz w:val="18"/>
          <w:szCs w:val="18"/>
        </w:rPr>
        <w:t>siehe beigefügte Grafik 2</w:t>
      </w:r>
      <w:r w:rsidR="00987C85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. Kurze, </w:t>
      </w:r>
      <w:proofErr w:type="gramStart"/>
      <w:r w:rsidR="00987C85">
        <w:rPr>
          <w:rFonts w:ascii="Verdana" w:hAnsi="Verdana"/>
          <w:sz w:val="18"/>
          <w:szCs w:val="18"/>
        </w:rPr>
        <w:t xml:space="preserve">extrem </w:t>
      </w:r>
      <w:r>
        <w:rPr>
          <w:rFonts w:ascii="Verdana" w:hAnsi="Verdana"/>
          <w:sz w:val="18"/>
          <w:szCs w:val="18"/>
        </w:rPr>
        <w:t>heftige</w:t>
      </w:r>
      <w:proofErr w:type="gramEnd"/>
      <w:r>
        <w:rPr>
          <w:rFonts w:ascii="Verdana" w:hAnsi="Verdana"/>
          <w:sz w:val="18"/>
          <w:szCs w:val="18"/>
        </w:rPr>
        <w:t xml:space="preserve"> Börsenrückschläge</w:t>
      </w:r>
      <w:r w:rsidR="00987C85">
        <w:rPr>
          <w:rFonts w:ascii="Verdana" w:hAnsi="Verdana"/>
          <w:sz w:val="18"/>
          <w:szCs w:val="18"/>
        </w:rPr>
        <w:t xml:space="preserve">, die dann in abrupt und ohne Vorwarnung in das gegenteilige Extrem umschlagen. </w:t>
      </w:r>
      <w:r w:rsidR="00EE7157" w:rsidRPr="00EE7157">
        <w:rPr>
          <w:rFonts w:ascii="Verdana" w:hAnsi="Verdana"/>
          <w:sz w:val="18"/>
          <w:szCs w:val="18"/>
        </w:rPr>
        <w:t>Da die eigentliche Trend 200 Methode auf langfristige Trends reagiert</w:t>
      </w:r>
      <w:r w:rsidR="00987C85">
        <w:rPr>
          <w:rFonts w:ascii="Verdana" w:hAnsi="Verdana"/>
          <w:sz w:val="18"/>
          <w:szCs w:val="18"/>
        </w:rPr>
        <w:t xml:space="preserve"> (von denen bei den dargestellten V-Formationen keine Rede sein kann)</w:t>
      </w:r>
      <w:r w:rsidR="00EE7157" w:rsidRPr="00EE7157">
        <w:rPr>
          <w:rFonts w:ascii="Verdana" w:hAnsi="Verdana"/>
          <w:sz w:val="18"/>
          <w:szCs w:val="18"/>
        </w:rPr>
        <w:t xml:space="preserve">, </w:t>
      </w:r>
      <w:r w:rsidR="00987C85">
        <w:rPr>
          <w:rFonts w:ascii="Verdana" w:hAnsi="Verdana"/>
          <w:sz w:val="18"/>
          <w:szCs w:val="18"/>
        </w:rPr>
        <w:t xml:space="preserve">bereiten diese unserem System </w:t>
      </w:r>
      <w:r w:rsidR="00EE7157" w:rsidRPr="00EE7157">
        <w:rPr>
          <w:rFonts w:ascii="Verdana" w:hAnsi="Verdana"/>
          <w:sz w:val="18"/>
          <w:szCs w:val="18"/>
        </w:rPr>
        <w:t>Probleme</w:t>
      </w:r>
      <w:r w:rsidR="00987C85">
        <w:rPr>
          <w:rFonts w:ascii="Verdana" w:hAnsi="Verdana"/>
          <w:sz w:val="18"/>
          <w:szCs w:val="18"/>
        </w:rPr>
        <w:t xml:space="preserve">. So beispielsweise über den Verlauf des ersten Corona-Lockdowns im Frühjahr </w:t>
      </w:r>
      <w:proofErr w:type="gramStart"/>
      <w:r w:rsidR="00987C85">
        <w:rPr>
          <w:rFonts w:ascii="Verdana" w:hAnsi="Verdana"/>
          <w:sz w:val="18"/>
          <w:szCs w:val="18"/>
        </w:rPr>
        <w:t>diesen Jahres</w:t>
      </w:r>
      <w:proofErr w:type="gramEnd"/>
      <w:r w:rsidR="00987C85">
        <w:rPr>
          <w:rFonts w:ascii="Verdana" w:hAnsi="Verdana"/>
          <w:sz w:val="18"/>
          <w:szCs w:val="18"/>
        </w:rPr>
        <w:t xml:space="preserve">. </w:t>
      </w:r>
    </w:p>
    <w:p w14:paraId="252201C1" w14:textId="6B9324EE" w:rsidR="00A23A33" w:rsidRDefault="002A60E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Deshalb hat die Patriarch Multi-Manager GmbH reagiert und p</w:t>
      </w:r>
      <w:r w:rsidRPr="00EE7157">
        <w:rPr>
          <w:rFonts w:ascii="Verdana" w:hAnsi="Verdana"/>
          <w:sz w:val="18"/>
          <w:szCs w:val="18"/>
        </w:rPr>
        <w:t>er 9.11.</w:t>
      </w:r>
      <w:r>
        <w:rPr>
          <w:rFonts w:ascii="Verdana" w:hAnsi="Verdana"/>
          <w:sz w:val="18"/>
          <w:szCs w:val="18"/>
        </w:rPr>
        <w:t xml:space="preserve">2020 </w:t>
      </w:r>
      <w:r w:rsidRPr="00EE7157">
        <w:rPr>
          <w:rFonts w:ascii="Verdana" w:hAnsi="Verdana"/>
          <w:sz w:val="18"/>
          <w:szCs w:val="18"/>
        </w:rPr>
        <w:t xml:space="preserve">bei den Trend 200 Strategien Systemverbesserungen vorgenommen. </w:t>
      </w:r>
      <w:r w:rsidR="00EE7157" w:rsidRPr="00EE7157">
        <w:rPr>
          <w:rFonts w:ascii="Verdana" w:hAnsi="Verdana"/>
          <w:sz w:val="18"/>
          <w:szCs w:val="18"/>
        </w:rPr>
        <w:t xml:space="preserve">Da man </w:t>
      </w:r>
      <w:r w:rsidR="00A23A33">
        <w:rPr>
          <w:rFonts w:ascii="Verdana" w:hAnsi="Verdana"/>
          <w:sz w:val="18"/>
          <w:szCs w:val="18"/>
        </w:rPr>
        <w:t xml:space="preserve">eben </w:t>
      </w:r>
      <w:r w:rsidR="00EE7157" w:rsidRPr="00EE7157">
        <w:rPr>
          <w:rFonts w:ascii="Verdana" w:hAnsi="Verdana"/>
          <w:sz w:val="18"/>
          <w:szCs w:val="18"/>
        </w:rPr>
        <w:t xml:space="preserve">nicht weiß, ob es sich </w:t>
      </w:r>
      <w:r w:rsidR="00A23A33">
        <w:rPr>
          <w:rFonts w:ascii="Verdana" w:hAnsi="Verdana"/>
          <w:sz w:val="18"/>
          <w:szCs w:val="18"/>
        </w:rPr>
        <w:t>bei dem beobachteten Phänomen</w:t>
      </w:r>
      <w:r w:rsidR="00EE7157" w:rsidRPr="00EE7157">
        <w:rPr>
          <w:rFonts w:ascii="Verdana" w:hAnsi="Verdana"/>
          <w:sz w:val="18"/>
          <w:szCs w:val="18"/>
        </w:rPr>
        <w:t xml:space="preserve"> um eine einmalige Anomalie </w:t>
      </w:r>
      <w:r w:rsidR="00A23A33">
        <w:rPr>
          <w:rFonts w:ascii="Verdana" w:hAnsi="Verdana"/>
          <w:sz w:val="18"/>
          <w:szCs w:val="18"/>
        </w:rPr>
        <w:t>handelt</w:t>
      </w:r>
      <w:r w:rsidR="00EE7157" w:rsidRPr="00EE7157">
        <w:rPr>
          <w:rFonts w:ascii="Verdana" w:hAnsi="Verdana"/>
          <w:sz w:val="18"/>
          <w:szCs w:val="18"/>
        </w:rPr>
        <w:t xml:space="preserve"> oder ob wir in Zukunft mit weiteren kurzfristigen </w:t>
      </w:r>
      <w:r>
        <w:rPr>
          <w:rFonts w:ascii="Verdana" w:hAnsi="Verdana"/>
          <w:sz w:val="18"/>
          <w:szCs w:val="18"/>
        </w:rPr>
        <w:t xml:space="preserve">vergleichbaren </w:t>
      </w:r>
      <w:r w:rsidR="00EE7157" w:rsidRPr="00EE7157">
        <w:rPr>
          <w:rFonts w:ascii="Verdana" w:hAnsi="Verdana"/>
          <w:sz w:val="18"/>
          <w:szCs w:val="18"/>
        </w:rPr>
        <w:t xml:space="preserve">Verwerfungen </w:t>
      </w:r>
      <w:r w:rsidR="00A23A33">
        <w:rPr>
          <w:rFonts w:ascii="Verdana" w:hAnsi="Verdana"/>
          <w:sz w:val="18"/>
          <w:szCs w:val="18"/>
        </w:rPr>
        <w:t xml:space="preserve">rechnen müssen. So </w:t>
      </w:r>
      <w:r w:rsidR="00EE7157" w:rsidRPr="00EE7157">
        <w:rPr>
          <w:rFonts w:ascii="Verdana" w:hAnsi="Verdana"/>
          <w:sz w:val="18"/>
          <w:szCs w:val="18"/>
        </w:rPr>
        <w:t xml:space="preserve">wurden weitere Eingriffsschwellen eingebaut, die </w:t>
      </w:r>
      <w:r>
        <w:rPr>
          <w:rFonts w:ascii="Verdana" w:hAnsi="Verdana"/>
          <w:sz w:val="18"/>
          <w:szCs w:val="18"/>
        </w:rPr>
        <w:t>bei überhitz</w:t>
      </w:r>
      <w:r w:rsidR="002062F4"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 xml:space="preserve">en </w:t>
      </w:r>
      <w:r w:rsidR="00A23A33">
        <w:rPr>
          <w:rFonts w:ascii="Verdana" w:hAnsi="Verdana"/>
          <w:sz w:val="18"/>
          <w:szCs w:val="18"/>
        </w:rPr>
        <w:t xml:space="preserve">positiven </w:t>
      </w:r>
      <w:r>
        <w:rPr>
          <w:rFonts w:ascii="Verdana" w:hAnsi="Verdana"/>
          <w:sz w:val="18"/>
          <w:szCs w:val="18"/>
        </w:rPr>
        <w:t xml:space="preserve">Märkten </w:t>
      </w:r>
      <w:r w:rsidR="00EE7157" w:rsidRPr="00EE7157">
        <w:rPr>
          <w:rFonts w:ascii="Verdana" w:hAnsi="Verdana"/>
          <w:sz w:val="18"/>
          <w:szCs w:val="18"/>
        </w:rPr>
        <w:t>zukünftig rechtzeitige Gewinnmitnahmen</w:t>
      </w:r>
      <w:r>
        <w:rPr>
          <w:rFonts w:ascii="Verdana" w:hAnsi="Verdana"/>
          <w:sz w:val="18"/>
          <w:szCs w:val="18"/>
        </w:rPr>
        <w:t xml:space="preserve"> </w:t>
      </w:r>
      <w:r w:rsidR="00EE7157" w:rsidRPr="00EE7157">
        <w:rPr>
          <w:rFonts w:ascii="Verdana" w:hAnsi="Verdana"/>
          <w:sz w:val="18"/>
          <w:szCs w:val="18"/>
        </w:rPr>
        <w:t xml:space="preserve">und </w:t>
      </w:r>
      <w:r>
        <w:rPr>
          <w:rFonts w:ascii="Verdana" w:hAnsi="Verdana"/>
          <w:sz w:val="18"/>
          <w:szCs w:val="18"/>
        </w:rPr>
        <w:t xml:space="preserve">bei überverkauften Börsen </w:t>
      </w:r>
      <w:r w:rsidR="00EE7157" w:rsidRPr="00EE7157">
        <w:rPr>
          <w:rFonts w:ascii="Verdana" w:hAnsi="Verdana"/>
          <w:sz w:val="18"/>
          <w:szCs w:val="18"/>
        </w:rPr>
        <w:t>frühzeitigere Wiedereinstiege</w:t>
      </w:r>
      <w:r>
        <w:rPr>
          <w:rFonts w:ascii="Verdana" w:hAnsi="Verdana"/>
          <w:sz w:val="18"/>
          <w:szCs w:val="18"/>
        </w:rPr>
        <w:t xml:space="preserve"> </w:t>
      </w:r>
      <w:r w:rsidR="00EE7157" w:rsidRPr="00EE7157">
        <w:rPr>
          <w:rFonts w:ascii="Verdana" w:hAnsi="Verdana"/>
          <w:sz w:val="18"/>
          <w:szCs w:val="18"/>
        </w:rPr>
        <w:t>ermöglich</w:t>
      </w:r>
      <w:r>
        <w:rPr>
          <w:rFonts w:ascii="Verdana" w:hAnsi="Verdana"/>
          <w:sz w:val="18"/>
          <w:szCs w:val="18"/>
        </w:rPr>
        <w:t>t</w:t>
      </w:r>
      <w:r w:rsidR="00EE7157" w:rsidRPr="00EE7157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Damit wird das erprobte „Trend 200 Trendfolgesystem“ um sinnvolle und den Marktgegebenheiten angepasste, antizyklische Handlungsalternativen erweitert, ohne das </w:t>
      </w:r>
      <w:r w:rsidR="00A23A33">
        <w:rPr>
          <w:rFonts w:ascii="Verdana" w:hAnsi="Verdana"/>
          <w:sz w:val="18"/>
          <w:szCs w:val="18"/>
        </w:rPr>
        <w:t>erfolgreiche Grunds</w:t>
      </w:r>
      <w:r>
        <w:rPr>
          <w:rFonts w:ascii="Verdana" w:hAnsi="Verdana"/>
          <w:sz w:val="18"/>
          <w:szCs w:val="18"/>
        </w:rPr>
        <w:t xml:space="preserve">ystem </w:t>
      </w:r>
      <w:r w:rsidR="00A23A33">
        <w:rPr>
          <w:rFonts w:ascii="Verdana" w:hAnsi="Verdana"/>
          <w:sz w:val="18"/>
          <w:szCs w:val="18"/>
        </w:rPr>
        <w:t>zu verwerfen.</w:t>
      </w:r>
    </w:p>
    <w:p w14:paraId="5CCEA9F8" w14:textId="3922DCEC" w:rsidR="003D57A0" w:rsidRDefault="00ED6BE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D94207" wp14:editId="26807165">
                <wp:simplePos x="0" y="0"/>
                <wp:positionH relativeFrom="column">
                  <wp:posOffset>4681855</wp:posOffset>
                </wp:positionH>
                <wp:positionV relativeFrom="paragraph">
                  <wp:posOffset>112395</wp:posOffset>
                </wp:positionV>
                <wp:extent cx="952500" cy="83820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49C00" w14:textId="750A56C3" w:rsidR="00ED6BE8" w:rsidRDefault="00ED6B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C4E127" wp14:editId="1AC8B8A5">
                                  <wp:extent cx="723900" cy="723900"/>
                                  <wp:effectExtent l="0" t="0" r="0" b="0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94207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368.65pt;margin-top:8.85pt;width:7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IAkLAIAAFAEAAAOAAAAZHJzL2Uyb0RvYy54bWysVE1vGjEQvVfqf7B8L7sQSAliiWgiqkoo&#10;iQRRzsZrsyvZHtc27NJf37F3ISjtqerFjD2z8/HeG+b3rVbkKJyvwRR0OMgpEYZDWZt9QV+3qy9T&#10;SnxgpmQKjCjoSXh6v/j8ad7YmRhBBaoUjmAS42eNLWgVgp1lmeeV0MwPwAqDTglOs4BXt89KxxrM&#10;rlU2yvPbrAFXWgdceI+vj52TLlJ+KQUPz1J6EYgqKPYW0unSuYtntpiz2d4xW9W8b4P9Qxea1QaL&#10;XlI9ssDIwdV/pNI1d+BBhgEHnYGUNRdpBpxmmH+YZlMxK9IsCI63F5j8/0vLn44vjtRlQZEowzRS&#10;tBVtkEKVZBrRaayfYdDGYlhov0GLLJ/fPT7GoVvpdPzFcQj6EefTBVtMRjg+3k1Gkxw9HF3Tmyly&#10;F7Nk7x9b58N3AZpEo6AOqUuIsuPahy70HBJrGVjVSiX6lCFNQW9vJnn64OLB5MpgjThC12q0Qrtr&#10;+7l2UJ5wLAedLLzlqxqLr5kPL8yhDrBf1HZ4xkMqwCLQW5RU4H797T3GIz3opaRBXRXU/zwwJyhR&#10;PwwSdzccj6MQ02U8+TrCi7v27K495qAfAKU7xC2yPJkxPqizKR3oN1yBZayKLmY41i5oOJsPoVM7&#10;rhAXy2UKQulZFtZmY3lMHeGM0G7bN+Zsj39A4p7grEA2+0BDF9sRsTwEkHXiKALcodrjjrJNLPcr&#10;Fvfi+p6i3v8IFr8BAAD//wMAUEsDBBQABgAIAAAAIQD8BQR74AAAAAoBAAAPAAAAZHJzL2Rvd25y&#10;ZXYueG1sTI/BTsMwEETvSPyDtUjcqEMLOIQ4VRWpQkJwaOmFmxNvk4h4HWK3DXw92xMcd+ZpdiZf&#10;Tq4XRxxD50nD7SwBgVR721GjYfe+vklBhGjImt4TavjGAMvi8iI3mfUn2uBxGxvBIRQyo6GNccik&#10;DHWLzoSZH5DY2/vRmcjn2Eg7mhOHu17Ok+RBOtMRf2jNgGWL9ef24DS8lOs3s6nmLv3py+fX/Wr4&#10;2n3ca319Na2eQESc4h8M5/pcHQruVPkD2SB6DWqhFoyyoRQIBtL0LFQs3D0qkEUu/08ofgEAAP//&#10;AwBQSwECLQAUAAYACAAAACEAtoM4kv4AAADhAQAAEwAAAAAAAAAAAAAAAAAAAAAAW0NvbnRlbnRf&#10;VHlwZXNdLnhtbFBLAQItABQABgAIAAAAIQA4/SH/1gAAAJQBAAALAAAAAAAAAAAAAAAAAC8BAABf&#10;cmVscy8ucmVsc1BLAQItABQABgAIAAAAIQB8MIAkLAIAAFAEAAAOAAAAAAAAAAAAAAAAAC4CAABk&#10;cnMvZTJvRG9jLnhtbFBLAQItABQABgAIAAAAIQD8BQR74AAAAAoBAAAPAAAAAAAAAAAAAAAAAIYE&#10;AABkcnMvZG93bnJldi54bWxQSwUGAAAAAAQABADzAAAAkwUAAAAA&#10;" filled="f" stroked="f" strokeweight=".5pt">
                <v:textbox>
                  <w:txbxContent>
                    <w:p w14:paraId="13E49C00" w14:textId="750A56C3" w:rsidR="00ED6BE8" w:rsidRDefault="00ED6BE8">
                      <w:r>
                        <w:rPr>
                          <w:noProof/>
                        </w:rPr>
                        <w:drawing>
                          <wp:inline distT="0" distB="0" distL="0" distR="0" wp14:anchorId="7EC4E127" wp14:editId="1AC8B8A5">
                            <wp:extent cx="723900" cy="723900"/>
                            <wp:effectExtent l="0" t="0" r="0" b="0"/>
                            <wp:docPr id="9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57A0">
        <w:rPr>
          <w:rFonts w:ascii="Verdana" w:hAnsi="Verdana"/>
          <w:sz w:val="18"/>
          <w:szCs w:val="18"/>
        </w:rPr>
        <w:br/>
        <w:t xml:space="preserve">Unter dem Link:  </w:t>
      </w:r>
      <w:hyperlink r:id="rId6" w:history="1">
        <w:r w:rsidR="003D57A0" w:rsidRPr="003E1F0A">
          <w:rPr>
            <w:rStyle w:val="Hyperlink"/>
            <w:rFonts w:ascii="Verdana" w:hAnsi="Verdana"/>
            <w:sz w:val="18"/>
            <w:szCs w:val="18"/>
          </w:rPr>
          <w:t>www.youtube.com/watch?v=Xos11t_uypw</w:t>
        </w:r>
      </w:hyperlink>
      <w:r>
        <w:rPr>
          <w:rFonts w:ascii="Verdana" w:hAnsi="Verdana"/>
          <w:sz w:val="18"/>
          <w:szCs w:val="18"/>
        </w:rPr>
        <w:br/>
      </w:r>
      <w:r w:rsidR="003D57A0" w:rsidRPr="00EE7157">
        <w:rPr>
          <w:rFonts w:ascii="Verdana" w:hAnsi="Verdana"/>
          <w:sz w:val="18"/>
          <w:szCs w:val="18"/>
        </w:rPr>
        <w:t>können Sie sich zu diesem Thema einen kurzen Film mit dem</w:t>
      </w:r>
      <w:r>
        <w:rPr>
          <w:rFonts w:ascii="Verdana" w:hAnsi="Verdana"/>
          <w:sz w:val="18"/>
          <w:szCs w:val="18"/>
        </w:rPr>
        <w:t xml:space="preserve"> </w:t>
      </w:r>
      <w:r w:rsidR="003D57A0" w:rsidRPr="00EE7157">
        <w:rPr>
          <w:rFonts w:ascii="Verdana" w:hAnsi="Verdana"/>
          <w:sz w:val="18"/>
          <w:szCs w:val="18"/>
        </w:rPr>
        <w:t>Geschäftsführer</w:t>
      </w:r>
      <w:r>
        <w:rPr>
          <w:rFonts w:ascii="Verdana" w:hAnsi="Verdana"/>
          <w:sz w:val="18"/>
          <w:szCs w:val="18"/>
        </w:rPr>
        <w:br/>
      </w:r>
      <w:r w:rsidR="003D57A0" w:rsidRPr="00EE7157">
        <w:rPr>
          <w:rFonts w:ascii="Verdana" w:hAnsi="Verdana"/>
          <w:sz w:val="18"/>
          <w:szCs w:val="18"/>
        </w:rPr>
        <w:t>der Patriarch</w:t>
      </w:r>
      <w:r w:rsidR="00A23A33">
        <w:rPr>
          <w:rFonts w:ascii="Verdana" w:hAnsi="Verdana"/>
          <w:sz w:val="18"/>
          <w:szCs w:val="18"/>
        </w:rPr>
        <w:t xml:space="preserve"> Multi-Manager GmbH (dem</w:t>
      </w:r>
      <w:r>
        <w:rPr>
          <w:rFonts w:ascii="Verdana" w:hAnsi="Verdana"/>
          <w:sz w:val="18"/>
          <w:szCs w:val="18"/>
        </w:rPr>
        <w:t xml:space="preserve"> </w:t>
      </w:r>
      <w:r w:rsidR="00A23A33">
        <w:rPr>
          <w:rFonts w:ascii="Verdana" w:hAnsi="Verdana"/>
          <w:sz w:val="18"/>
          <w:szCs w:val="18"/>
        </w:rPr>
        <w:t>Initiator der Trend 200 Strategien)</w:t>
      </w:r>
      <w:r w:rsidR="003D57A0" w:rsidRPr="00EE7157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br/>
      </w:r>
      <w:r w:rsidR="003D57A0" w:rsidRPr="00EE7157">
        <w:rPr>
          <w:rFonts w:ascii="Verdana" w:hAnsi="Verdana"/>
          <w:sz w:val="18"/>
          <w:szCs w:val="18"/>
        </w:rPr>
        <w:t>Herrn Dirk Fischer, ansehen.</w:t>
      </w:r>
      <w:r>
        <w:rPr>
          <w:rFonts w:ascii="Verdana" w:hAnsi="Verdana"/>
          <w:sz w:val="18"/>
          <w:szCs w:val="18"/>
        </w:rPr>
        <w:t xml:space="preserve"> </w:t>
      </w:r>
      <w:r w:rsidR="003D57A0" w:rsidRPr="00EE7157">
        <w:rPr>
          <w:rFonts w:ascii="Verdana" w:hAnsi="Verdana"/>
          <w:sz w:val="18"/>
          <w:szCs w:val="18"/>
        </w:rPr>
        <w:t>Er erläutert anhand eines Beispiels die</w:t>
      </w:r>
      <w:r>
        <w:rPr>
          <w:rFonts w:ascii="Verdana" w:hAnsi="Verdana"/>
          <w:sz w:val="18"/>
          <w:szCs w:val="18"/>
        </w:rPr>
        <w:br/>
      </w:r>
      <w:r w:rsidR="003D57A0" w:rsidRPr="00EE7157">
        <w:rPr>
          <w:rFonts w:ascii="Verdana" w:hAnsi="Verdana"/>
          <w:sz w:val="18"/>
          <w:szCs w:val="18"/>
        </w:rPr>
        <w:t>zukünftige Vorgehensweise.</w:t>
      </w:r>
    </w:p>
    <w:p w14:paraId="1117342E" w14:textId="6273525A" w:rsidR="00EE7157" w:rsidRDefault="002A60E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Ziel ist </w:t>
      </w:r>
      <w:r w:rsidR="00A23A33">
        <w:rPr>
          <w:rFonts w:ascii="Verdana" w:hAnsi="Verdana"/>
          <w:sz w:val="18"/>
          <w:szCs w:val="18"/>
        </w:rPr>
        <w:t>und bleibt es</w:t>
      </w:r>
      <w:r>
        <w:rPr>
          <w:rFonts w:ascii="Verdana" w:hAnsi="Verdana"/>
          <w:sz w:val="18"/>
          <w:szCs w:val="18"/>
        </w:rPr>
        <w:t xml:space="preserve">, </w:t>
      </w:r>
      <w:r w:rsidR="008F1E4F">
        <w:rPr>
          <w:rFonts w:ascii="Verdana" w:hAnsi="Verdana"/>
          <w:sz w:val="18"/>
          <w:szCs w:val="18"/>
        </w:rPr>
        <w:t>Ihnen längerfristig eine dem Risiko angemessene, überdurchschnittliche Rendite zu liefern.</w:t>
      </w:r>
    </w:p>
    <w:p w14:paraId="6F6AB472" w14:textId="4C7099EA" w:rsidR="00A23A33" w:rsidRDefault="003D57A0">
      <w:pPr>
        <w:rPr>
          <w:rFonts w:ascii="Verdana" w:hAnsi="Verdana"/>
          <w:b/>
          <w:bCs/>
          <w:sz w:val="18"/>
          <w:szCs w:val="18"/>
        </w:rPr>
      </w:pPr>
      <w:r w:rsidRPr="00A23A33">
        <w:rPr>
          <w:rFonts w:ascii="Verdana" w:hAnsi="Verdana"/>
          <w:b/>
          <w:bCs/>
          <w:sz w:val="18"/>
          <w:szCs w:val="18"/>
        </w:rPr>
        <w:t xml:space="preserve">Übrigens: </w:t>
      </w:r>
      <w:r w:rsidR="008F1E4F" w:rsidRPr="00A23A33">
        <w:rPr>
          <w:rFonts w:ascii="Verdana" w:hAnsi="Verdana"/>
          <w:b/>
          <w:bCs/>
          <w:sz w:val="18"/>
          <w:szCs w:val="18"/>
        </w:rPr>
        <w:t>D</w:t>
      </w:r>
      <w:r w:rsidR="003236E0" w:rsidRPr="00A23A33">
        <w:rPr>
          <w:rFonts w:ascii="Verdana" w:hAnsi="Verdana"/>
          <w:b/>
          <w:bCs/>
          <w:sz w:val="18"/>
          <w:szCs w:val="18"/>
        </w:rPr>
        <w:t>er November</w:t>
      </w:r>
      <w:r w:rsidR="008F1E4F" w:rsidRPr="00A23A33">
        <w:rPr>
          <w:rFonts w:ascii="Verdana" w:hAnsi="Verdana"/>
          <w:b/>
          <w:bCs/>
          <w:sz w:val="18"/>
          <w:szCs w:val="18"/>
        </w:rPr>
        <w:t xml:space="preserve"> 2020</w:t>
      </w:r>
      <w:r w:rsidR="003236E0" w:rsidRPr="00A23A33">
        <w:rPr>
          <w:rFonts w:ascii="Verdana" w:hAnsi="Verdana"/>
          <w:b/>
          <w:bCs/>
          <w:sz w:val="18"/>
          <w:szCs w:val="18"/>
        </w:rPr>
        <w:t xml:space="preserve"> brachte für die Strategien der Patriarch Select </w:t>
      </w:r>
      <w:r w:rsidR="00EE7157" w:rsidRPr="00A23A33">
        <w:rPr>
          <w:rFonts w:ascii="Verdana" w:hAnsi="Verdana"/>
          <w:b/>
          <w:bCs/>
          <w:sz w:val="18"/>
          <w:szCs w:val="18"/>
        </w:rPr>
        <w:t>Fonds</w:t>
      </w:r>
      <w:r w:rsidR="00A23A33" w:rsidRPr="00A23A33">
        <w:rPr>
          <w:rFonts w:ascii="Verdana" w:hAnsi="Verdana"/>
          <w:b/>
          <w:bCs/>
          <w:sz w:val="18"/>
          <w:szCs w:val="18"/>
        </w:rPr>
        <w:t>v</w:t>
      </w:r>
      <w:r w:rsidR="00EE7157" w:rsidRPr="00A23A33">
        <w:rPr>
          <w:rFonts w:ascii="Verdana" w:hAnsi="Verdana"/>
          <w:b/>
          <w:bCs/>
          <w:sz w:val="18"/>
          <w:szCs w:val="18"/>
        </w:rPr>
        <w:t>ermögensverwaltung</w:t>
      </w:r>
      <w:r w:rsidR="003236E0" w:rsidRPr="00A23A33">
        <w:rPr>
          <w:rFonts w:ascii="Verdana" w:hAnsi="Verdana"/>
          <w:b/>
          <w:bCs/>
          <w:sz w:val="18"/>
          <w:szCs w:val="18"/>
        </w:rPr>
        <w:t xml:space="preserve"> </w:t>
      </w:r>
      <w:r w:rsidR="00A23A33" w:rsidRPr="00A23A33">
        <w:rPr>
          <w:rFonts w:ascii="Verdana" w:hAnsi="Verdana"/>
          <w:b/>
          <w:bCs/>
          <w:sz w:val="18"/>
          <w:szCs w:val="18"/>
        </w:rPr>
        <w:t xml:space="preserve">bereits </w:t>
      </w:r>
      <w:r w:rsidR="003236E0" w:rsidRPr="00A23A33">
        <w:rPr>
          <w:rFonts w:ascii="Verdana" w:hAnsi="Verdana"/>
          <w:b/>
          <w:bCs/>
          <w:sz w:val="18"/>
          <w:szCs w:val="18"/>
        </w:rPr>
        <w:t>ausgezeichnete Renditen</w:t>
      </w:r>
      <w:r w:rsidR="008F1E4F" w:rsidRPr="00A23A33">
        <w:rPr>
          <w:rFonts w:ascii="Verdana" w:hAnsi="Verdana"/>
          <w:b/>
          <w:bCs/>
          <w:sz w:val="18"/>
          <w:szCs w:val="18"/>
        </w:rPr>
        <w:t>.</w:t>
      </w:r>
      <w:r w:rsidR="0092379D" w:rsidRPr="00A23A33">
        <w:rPr>
          <w:rFonts w:ascii="Verdana" w:hAnsi="Verdana"/>
          <w:b/>
          <w:bCs/>
          <w:sz w:val="18"/>
          <w:szCs w:val="18"/>
        </w:rPr>
        <w:br/>
      </w:r>
      <w:r w:rsidR="003236E0" w:rsidRPr="00A23A33">
        <w:rPr>
          <w:rFonts w:ascii="Verdana" w:hAnsi="Verdana"/>
          <w:b/>
          <w:bCs/>
          <w:sz w:val="18"/>
          <w:szCs w:val="18"/>
        </w:rPr>
        <w:t>So konnte die Strategie</w:t>
      </w:r>
      <w:r w:rsidRPr="00A23A33">
        <w:rPr>
          <w:rFonts w:ascii="Verdana" w:hAnsi="Verdana"/>
          <w:b/>
          <w:bCs/>
          <w:sz w:val="18"/>
          <w:szCs w:val="18"/>
        </w:rPr>
        <w:t xml:space="preserve"> </w:t>
      </w:r>
      <w:r w:rsidR="003236E0" w:rsidRPr="00A23A33">
        <w:rPr>
          <w:rFonts w:ascii="Verdana" w:hAnsi="Verdana"/>
          <w:b/>
          <w:bCs/>
          <w:sz w:val="18"/>
          <w:szCs w:val="18"/>
        </w:rPr>
        <w:t xml:space="preserve">Wachstum Trend 200 plus </w:t>
      </w:r>
      <w:r w:rsidR="003236E0" w:rsidRPr="00A23A33">
        <w:rPr>
          <w:rFonts w:ascii="Verdana" w:hAnsi="Verdana"/>
          <w:b/>
          <w:bCs/>
          <w:sz w:val="18"/>
          <w:szCs w:val="18"/>
          <w:u w:val="single"/>
        </w:rPr>
        <w:t>5,30%</w:t>
      </w:r>
      <w:r w:rsidRPr="00A23A33">
        <w:rPr>
          <w:rFonts w:ascii="Verdana" w:hAnsi="Verdana"/>
          <w:b/>
          <w:bCs/>
          <w:sz w:val="18"/>
          <w:szCs w:val="18"/>
          <w:u w:val="single"/>
        </w:rPr>
        <w:t xml:space="preserve">, </w:t>
      </w:r>
      <w:r w:rsidR="003236E0" w:rsidRPr="00A23A33">
        <w:rPr>
          <w:rFonts w:ascii="Verdana" w:hAnsi="Verdana"/>
          <w:b/>
          <w:bCs/>
          <w:sz w:val="18"/>
          <w:szCs w:val="18"/>
        </w:rPr>
        <w:t xml:space="preserve">Dynamik Trend 200 plus </w:t>
      </w:r>
      <w:r w:rsidR="003236E0" w:rsidRPr="00A23A33">
        <w:rPr>
          <w:rFonts w:ascii="Verdana" w:hAnsi="Verdana"/>
          <w:b/>
          <w:bCs/>
          <w:sz w:val="18"/>
          <w:szCs w:val="18"/>
          <w:u w:val="single"/>
        </w:rPr>
        <w:t>7,63 %</w:t>
      </w:r>
      <w:r w:rsidRPr="00A23A33">
        <w:rPr>
          <w:rFonts w:ascii="Verdana" w:hAnsi="Verdana"/>
          <w:b/>
          <w:bCs/>
          <w:sz w:val="18"/>
          <w:szCs w:val="18"/>
          <w:u w:val="single"/>
        </w:rPr>
        <w:t xml:space="preserve">, </w:t>
      </w:r>
      <w:r w:rsidR="003236E0" w:rsidRPr="00A23A33">
        <w:rPr>
          <w:rFonts w:ascii="Verdana" w:hAnsi="Verdana"/>
          <w:b/>
          <w:bCs/>
          <w:sz w:val="18"/>
          <w:szCs w:val="18"/>
        </w:rPr>
        <w:t xml:space="preserve">VIP Trend 200 plus </w:t>
      </w:r>
      <w:r w:rsidR="003236E0" w:rsidRPr="00A23A33">
        <w:rPr>
          <w:rFonts w:ascii="Verdana" w:hAnsi="Verdana"/>
          <w:b/>
          <w:bCs/>
          <w:sz w:val="18"/>
          <w:szCs w:val="18"/>
          <w:u w:val="single"/>
        </w:rPr>
        <w:t>7,82%</w:t>
      </w:r>
      <w:r w:rsidR="003236E0" w:rsidRPr="00A23A33">
        <w:rPr>
          <w:rFonts w:ascii="Verdana" w:hAnsi="Verdana"/>
          <w:b/>
          <w:bCs/>
          <w:sz w:val="18"/>
          <w:szCs w:val="18"/>
        </w:rPr>
        <w:t xml:space="preserve"> und</w:t>
      </w:r>
      <w:r w:rsidRPr="00A23A33">
        <w:rPr>
          <w:rFonts w:ascii="Verdana" w:hAnsi="Verdana"/>
          <w:b/>
          <w:bCs/>
          <w:sz w:val="18"/>
          <w:szCs w:val="18"/>
        </w:rPr>
        <w:t xml:space="preserve"> </w:t>
      </w:r>
      <w:r w:rsidR="003236E0" w:rsidRPr="00A23A33">
        <w:rPr>
          <w:rFonts w:ascii="Verdana" w:hAnsi="Verdana"/>
          <w:b/>
          <w:bCs/>
          <w:sz w:val="18"/>
          <w:szCs w:val="18"/>
        </w:rPr>
        <w:t xml:space="preserve">ETF Trend 200 plus </w:t>
      </w:r>
      <w:r w:rsidR="003236E0" w:rsidRPr="00A23A33">
        <w:rPr>
          <w:rFonts w:ascii="Verdana" w:hAnsi="Verdana"/>
          <w:b/>
          <w:bCs/>
          <w:sz w:val="18"/>
          <w:szCs w:val="18"/>
          <w:u w:val="single"/>
        </w:rPr>
        <w:t>8,72</w:t>
      </w:r>
      <w:r w:rsidR="002062F4" w:rsidRPr="00A23A33">
        <w:rPr>
          <w:rFonts w:ascii="Verdana" w:hAnsi="Verdana"/>
          <w:b/>
          <w:bCs/>
          <w:sz w:val="18"/>
          <w:szCs w:val="18"/>
          <w:u w:val="single"/>
        </w:rPr>
        <w:t xml:space="preserve">% </w:t>
      </w:r>
      <w:r w:rsidR="002062F4" w:rsidRPr="00A23A33">
        <w:rPr>
          <w:rFonts w:ascii="Verdana" w:hAnsi="Verdana"/>
          <w:b/>
          <w:bCs/>
          <w:sz w:val="18"/>
          <w:szCs w:val="18"/>
        </w:rPr>
        <w:t>in</w:t>
      </w:r>
      <w:r w:rsidR="00A23A33" w:rsidRPr="00A23A33">
        <w:rPr>
          <w:rFonts w:ascii="Verdana" w:hAnsi="Verdana"/>
          <w:b/>
          <w:bCs/>
          <w:sz w:val="18"/>
          <w:szCs w:val="18"/>
        </w:rPr>
        <w:t xml:space="preserve"> nur einem Monat </w:t>
      </w:r>
      <w:r w:rsidR="00EE7157" w:rsidRPr="00A23A33">
        <w:rPr>
          <w:rFonts w:ascii="Verdana" w:hAnsi="Verdana"/>
          <w:b/>
          <w:bCs/>
          <w:sz w:val="18"/>
          <w:szCs w:val="18"/>
        </w:rPr>
        <w:t xml:space="preserve">erreichen. </w:t>
      </w:r>
    </w:p>
    <w:p w14:paraId="0E46EBA3" w14:textId="77777777" w:rsidR="00B156F7" w:rsidRDefault="00A23A3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Als bisheriger Investor müssen Sie nichts aktiv tun, um an der neuen Methodik zu partizipieren. </w:t>
      </w:r>
      <w:r w:rsidR="00B156F7">
        <w:rPr>
          <w:rFonts w:ascii="Verdana" w:hAnsi="Verdana"/>
          <w:sz w:val="18"/>
          <w:szCs w:val="18"/>
        </w:rPr>
        <w:t>Die Umstellung erfolgte im Rahmen der bestehenden Anlagebedingungen Ihrer Strategie. Dieses Schreiben dient also lediglich Ihrer Information und als Update.</w:t>
      </w:r>
    </w:p>
    <w:p w14:paraId="148F41AF" w14:textId="2F114011" w:rsidR="003D57A0" w:rsidRPr="00A23A33" w:rsidRDefault="00B156F7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Selbstverständlich stehe ich Ihnen als Ihr Anlageberater zu jedweder Rückfrage oder </w:t>
      </w:r>
      <w:r w:rsidR="002062F4">
        <w:rPr>
          <w:rFonts w:ascii="Verdana" w:hAnsi="Verdana"/>
          <w:sz w:val="18"/>
          <w:szCs w:val="18"/>
        </w:rPr>
        <w:t>potenziellen Zuzahlungswünschen</w:t>
      </w:r>
      <w:r>
        <w:rPr>
          <w:rFonts w:ascii="Verdana" w:hAnsi="Verdana"/>
          <w:sz w:val="18"/>
          <w:szCs w:val="18"/>
        </w:rPr>
        <w:t xml:space="preserve"> jederzeit in gewohnter Art und Weise zur Verfügung.</w:t>
      </w:r>
      <w:r w:rsidR="003236E0" w:rsidRPr="00A23A33">
        <w:rPr>
          <w:rFonts w:ascii="Verdana" w:hAnsi="Verdana"/>
          <w:b/>
          <w:bCs/>
          <w:sz w:val="18"/>
          <w:szCs w:val="18"/>
        </w:rPr>
        <w:br/>
      </w:r>
    </w:p>
    <w:p w14:paraId="7C29AE24" w14:textId="77777777" w:rsidR="00B156F7" w:rsidRDefault="00B156F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Ihr </w:t>
      </w:r>
    </w:p>
    <w:p w14:paraId="06929B47" w14:textId="532759E6" w:rsidR="002062F4" w:rsidRDefault="00B156F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Bert Berater</w:t>
      </w:r>
      <w:r w:rsidR="003236E0" w:rsidRPr="00EE7157">
        <w:rPr>
          <w:rFonts w:ascii="Verdana" w:hAnsi="Verdana"/>
          <w:sz w:val="18"/>
          <w:szCs w:val="18"/>
        </w:rPr>
        <w:br/>
      </w:r>
    </w:p>
    <w:p w14:paraId="27B0B6BB" w14:textId="77777777" w:rsidR="002062F4" w:rsidRDefault="002062F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57410BEB" w14:textId="77777777" w:rsidR="002062F4" w:rsidRDefault="002062F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Anlage zum Schreiben vom</w:t>
      </w:r>
      <w:proofErr w:type="gramStart"/>
      <w:r>
        <w:rPr>
          <w:rFonts w:ascii="Verdana" w:hAnsi="Verdana"/>
          <w:sz w:val="18"/>
          <w:szCs w:val="18"/>
        </w:rPr>
        <w:t>…….</w:t>
      </w:r>
      <w:proofErr w:type="gramEnd"/>
      <w:r>
        <w:rPr>
          <w:rFonts w:ascii="Verdana" w:hAnsi="Verdana"/>
          <w:sz w:val="18"/>
          <w:szCs w:val="18"/>
        </w:rPr>
        <w:t>. „Anpassung der Trend 200 Strategien“</w:t>
      </w:r>
    </w:p>
    <w:p w14:paraId="1B8787EC" w14:textId="0521DE67" w:rsidR="00230EA7" w:rsidRPr="00FB482B" w:rsidRDefault="00105BD4">
      <w:pPr>
        <w:rPr>
          <w:rFonts w:ascii="Verdana" w:hAnsi="Verdana"/>
          <w:b/>
          <w:bCs/>
          <w:sz w:val="18"/>
          <w:szCs w:val="18"/>
          <w:u w:val="single"/>
        </w:rPr>
      </w:pPr>
      <w:r w:rsidRPr="00FB482B">
        <w:rPr>
          <w:rFonts w:ascii="Verdana" w:hAnsi="Verdana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42BFA" wp14:editId="1C6F7633">
                <wp:simplePos x="0" y="0"/>
                <wp:positionH relativeFrom="column">
                  <wp:posOffset>-90170</wp:posOffset>
                </wp:positionH>
                <wp:positionV relativeFrom="paragraph">
                  <wp:posOffset>127635</wp:posOffset>
                </wp:positionV>
                <wp:extent cx="6210300" cy="257175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2571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361639" w14:textId="7400C163" w:rsidR="00105BD4" w:rsidRDefault="00105B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07F544" wp14:editId="356C0057">
                                  <wp:extent cx="6021070" cy="2401570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21070" cy="2401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42BFA" id="Textfeld 1" o:spid="_x0000_s1027" type="#_x0000_t202" style="position:absolute;margin-left:-7.1pt;margin-top:10.05pt;width:489pt;height:20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/uELgIAAFkEAAAOAAAAZHJzL2Uyb0RvYy54bWysVF1P2zAUfZ+0/2D5fU1bWmBVU9SBmCYh&#10;QKITz65jt5EcX892Sdiv37GTAmN7mvbiXPte349zjrO86BrDnpQPNdmST0ZjzpSVVNV2V/Lvm+tP&#10;55yFKGwlDFlV8mcV+MXq44dl6xZqSnsylfIMSWxYtK7k+xjdoiiC3KtGhBE5ZeHU5BsRsfW7ovKi&#10;RfbGFNPx+LRoyVfOk1Qh4PSqd/JVzq+1kvFO66AiMyVHbzGvPq/btBarpVjsvHD7Wg5tiH/oohG1&#10;RdGXVFciCnbw9R+pmlp6CqTjSFJTkNa1VHkGTDMZv5vmYS+cyrMAnOBeYAr/L628fbr3rK7AHWdW&#10;NKBoo7qolanYJKHTurBA0INDWOy+UJcih/OAwzR0p32TvhiHwQ+cn1+wRTImcXg6nYxPxnBJ+Kbz&#10;s8nZPKNfvF53PsSvihqWjJJ7kJcxFU83IaIkQo8hqZql69qYTKCxrEWJE6T8zYMbxuJiGqJvNlmx&#10;23bDyMMgW6qeMZ+nXh/ByesaPdyIEO+FhyDQN0Qe77BoQ6hFg8XZnvzPv52nePAEL2ctBFby8OMg&#10;vOLMfLNg8PNkNkuKzJvZ/GyKjX/r2b712ENzSdAwWEJ32Uzx0RxN7al5xFtYp6pwCStRu+TxaF7G&#10;XvZ4S1Kt1zkIGnQi3tgHJ1PqhF1CeNM9Cu8GGiIYvKWjFMXiHRt9bI/6+hBJ15mqhHOP6gA/9JsZ&#10;HN5aeiBv9znq9Y+w+gUAAP//AwBQSwMEFAAGAAgAAAAhAIOFyM/iAAAACgEAAA8AAABkcnMvZG93&#10;bnJldi54bWxMj01PwkAURfcm/ofJM3EH045AsPSVkCbExOgCZOPutTO0DfNROwNUf73jCpcv7+Te&#10;c/P1aDS7qMF3ziKk0wSYsrWTnW0QDh/byRKYD2QlaWcVwrfysC7u73LKpLvanbrsQ8NiiPUZIbQh&#10;9Bnnvm6VIT91vbLxd3SDoRDPoeFyoGsMN5qLJFlwQ52NDS31qmxVfdqfDcJruX2nXSXM8keXL2/H&#10;Tf91+JwjPj6MmxWwoMZwg+FPP6pDEZ0qd7bSM40wSWcioggiSYFF4HnxFLdUCDMxT4EXOf8/ofgF&#10;AAD//wMAUEsBAi0AFAAGAAgAAAAhALaDOJL+AAAA4QEAABMAAAAAAAAAAAAAAAAAAAAAAFtDb250&#10;ZW50X1R5cGVzXS54bWxQSwECLQAUAAYACAAAACEAOP0h/9YAAACUAQAACwAAAAAAAAAAAAAAAAAv&#10;AQAAX3JlbHMvLnJlbHNQSwECLQAUAAYACAAAACEAcuv7hC4CAABZBAAADgAAAAAAAAAAAAAAAAAu&#10;AgAAZHJzL2Uyb0RvYy54bWxQSwECLQAUAAYACAAAACEAg4XIz+IAAAAKAQAADwAAAAAAAAAAAAAA&#10;AACIBAAAZHJzL2Rvd25yZXYueG1sUEsFBgAAAAAEAAQA8wAAAJcFAAAAAA==&#10;" filled="f" stroked="f" strokeweight=".5pt">
                <v:textbox>
                  <w:txbxContent>
                    <w:p w14:paraId="58361639" w14:textId="7400C163" w:rsidR="00105BD4" w:rsidRDefault="00105BD4">
                      <w:r>
                        <w:rPr>
                          <w:noProof/>
                        </w:rPr>
                        <w:drawing>
                          <wp:inline distT="0" distB="0" distL="0" distR="0" wp14:anchorId="5C07F544" wp14:editId="356C0057">
                            <wp:extent cx="6021070" cy="2401570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21070" cy="2401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62F4" w:rsidRPr="00FB482B">
        <w:rPr>
          <w:rFonts w:ascii="Verdana" w:hAnsi="Verdana"/>
          <w:b/>
          <w:bCs/>
          <w:sz w:val="18"/>
          <w:szCs w:val="18"/>
          <w:u w:val="single"/>
        </w:rPr>
        <w:t>Grafik 1</w:t>
      </w:r>
      <w:r w:rsidR="00230EA7" w:rsidRPr="00FB482B">
        <w:rPr>
          <w:rFonts w:ascii="Verdana" w:hAnsi="Verdana"/>
          <w:b/>
          <w:bCs/>
          <w:sz w:val="18"/>
          <w:szCs w:val="18"/>
          <w:u w:val="single"/>
        </w:rPr>
        <w:br/>
      </w:r>
    </w:p>
    <w:p w14:paraId="374FA088" w14:textId="04CE44FF" w:rsidR="00105BD4" w:rsidRDefault="00105BD4">
      <w:pPr>
        <w:rPr>
          <w:rFonts w:ascii="Verdana" w:hAnsi="Verdana"/>
          <w:b/>
          <w:bCs/>
          <w:sz w:val="18"/>
          <w:szCs w:val="18"/>
        </w:rPr>
      </w:pPr>
    </w:p>
    <w:p w14:paraId="783997F7" w14:textId="5487DAD0" w:rsidR="00105BD4" w:rsidRDefault="00105BD4">
      <w:pPr>
        <w:rPr>
          <w:rFonts w:ascii="Verdana" w:hAnsi="Verdana"/>
          <w:b/>
          <w:bCs/>
          <w:sz w:val="18"/>
          <w:szCs w:val="18"/>
        </w:rPr>
      </w:pPr>
    </w:p>
    <w:p w14:paraId="7AE22F9B" w14:textId="5249498A" w:rsidR="00105BD4" w:rsidRDefault="00105BD4">
      <w:pPr>
        <w:rPr>
          <w:rFonts w:ascii="Verdana" w:hAnsi="Verdana"/>
          <w:b/>
          <w:bCs/>
          <w:sz w:val="18"/>
          <w:szCs w:val="18"/>
        </w:rPr>
      </w:pPr>
    </w:p>
    <w:p w14:paraId="60971344" w14:textId="1ECAF345" w:rsidR="00105BD4" w:rsidRDefault="00105BD4">
      <w:pPr>
        <w:rPr>
          <w:rFonts w:ascii="Verdana" w:hAnsi="Verdana"/>
          <w:b/>
          <w:bCs/>
          <w:sz w:val="18"/>
          <w:szCs w:val="18"/>
        </w:rPr>
      </w:pPr>
    </w:p>
    <w:p w14:paraId="6AE35031" w14:textId="2D88557F" w:rsidR="00105BD4" w:rsidRDefault="00105BD4">
      <w:pPr>
        <w:rPr>
          <w:rFonts w:ascii="Verdana" w:hAnsi="Verdana"/>
          <w:b/>
          <w:bCs/>
          <w:sz w:val="18"/>
          <w:szCs w:val="18"/>
        </w:rPr>
      </w:pPr>
    </w:p>
    <w:p w14:paraId="6244BFFA" w14:textId="0285C7AB" w:rsidR="00105BD4" w:rsidRDefault="00105BD4">
      <w:pPr>
        <w:rPr>
          <w:rFonts w:ascii="Verdana" w:hAnsi="Verdana"/>
          <w:b/>
          <w:bCs/>
          <w:sz w:val="18"/>
          <w:szCs w:val="18"/>
        </w:rPr>
      </w:pPr>
    </w:p>
    <w:p w14:paraId="6149A989" w14:textId="61F9D25F" w:rsidR="00105BD4" w:rsidRDefault="00105BD4">
      <w:pPr>
        <w:rPr>
          <w:rFonts w:ascii="Verdana" w:hAnsi="Verdana"/>
          <w:b/>
          <w:bCs/>
          <w:sz w:val="18"/>
          <w:szCs w:val="18"/>
        </w:rPr>
      </w:pPr>
    </w:p>
    <w:p w14:paraId="4808830B" w14:textId="0998127E" w:rsidR="00105BD4" w:rsidRDefault="00105BD4">
      <w:pPr>
        <w:rPr>
          <w:rFonts w:ascii="Verdana" w:hAnsi="Verdana"/>
          <w:b/>
          <w:bCs/>
          <w:sz w:val="18"/>
          <w:szCs w:val="18"/>
        </w:rPr>
      </w:pPr>
    </w:p>
    <w:tbl>
      <w:tblPr>
        <w:tblW w:w="101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098"/>
        <w:gridCol w:w="2098"/>
        <w:gridCol w:w="2098"/>
      </w:tblGrid>
      <w:tr w:rsidR="00105BD4" w:rsidRPr="00105BD4" w14:paraId="20C2A5E8" w14:textId="77777777" w:rsidTr="00105BD4">
        <w:trPr>
          <w:trHeight w:val="45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BA393" w14:textId="77777777" w:rsidR="00105BD4" w:rsidRDefault="00105BD4" w:rsidP="00105BD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EC9AC60" w14:textId="14274E83" w:rsidR="00105BD4" w:rsidRPr="00105BD4" w:rsidRDefault="00105BD4" w:rsidP="00105BD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6C706" w14:textId="77777777" w:rsidR="00105BD4" w:rsidRPr="00105BD4" w:rsidRDefault="00105BD4" w:rsidP="00105BD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05BD4">
              <w:rPr>
                <w:rFonts w:ascii="Verdana" w:hAnsi="Verdana"/>
                <w:sz w:val="18"/>
                <w:szCs w:val="18"/>
              </w:rPr>
              <w:t>Wertzuwachs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E1D74" w14:textId="77777777" w:rsidR="00105BD4" w:rsidRPr="00105BD4" w:rsidRDefault="00105BD4" w:rsidP="00105BD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05BD4">
              <w:rPr>
                <w:rFonts w:ascii="Verdana" w:hAnsi="Verdana"/>
                <w:sz w:val="18"/>
                <w:szCs w:val="18"/>
              </w:rPr>
              <w:t>Wertentwicklung p.a.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CB0AC" w14:textId="77777777" w:rsidR="00105BD4" w:rsidRPr="00105BD4" w:rsidRDefault="00105BD4" w:rsidP="00105BD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05BD4">
              <w:rPr>
                <w:rFonts w:ascii="Verdana" w:hAnsi="Verdana"/>
                <w:sz w:val="18"/>
                <w:szCs w:val="18"/>
              </w:rPr>
              <w:t>Volatilität</w:t>
            </w:r>
          </w:p>
        </w:tc>
      </w:tr>
      <w:tr w:rsidR="00105BD4" w:rsidRPr="00105BD4" w14:paraId="388EA245" w14:textId="77777777" w:rsidTr="00105BD4">
        <w:trPr>
          <w:trHeight w:val="45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6CA7" w14:textId="77777777" w:rsidR="00105BD4" w:rsidRPr="00105BD4" w:rsidRDefault="00105BD4" w:rsidP="00105BD4">
            <w:pPr>
              <w:rPr>
                <w:rFonts w:ascii="Verdana" w:hAnsi="Verdana"/>
                <w:b/>
                <w:bCs/>
                <w:color w:val="E46713"/>
                <w:sz w:val="18"/>
                <w:szCs w:val="18"/>
              </w:rPr>
            </w:pPr>
            <w:proofErr w:type="spellStart"/>
            <w:r w:rsidRPr="00105BD4">
              <w:rPr>
                <w:rFonts w:ascii="Verdana" w:hAnsi="Verdana"/>
                <w:b/>
                <w:bCs/>
                <w:color w:val="E46713"/>
                <w:sz w:val="18"/>
                <w:szCs w:val="18"/>
              </w:rPr>
              <w:t>PatriarchSelect</w:t>
            </w:r>
            <w:proofErr w:type="spellEnd"/>
            <w:r w:rsidRPr="00105BD4">
              <w:rPr>
                <w:rFonts w:ascii="Verdana" w:hAnsi="Verdana"/>
                <w:b/>
                <w:bCs/>
                <w:color w:val="E46713"/>
                <w:sz w:val="18"/>
                <w:szCs w:val="18"/>
              </w:rPr>
              <w:t xml:space="preserve"> Fonds-VV VIP T200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256D" w14:textId="77777777" w:rsidR="00105BD4" w:rsidRPr="00105BD4" w:rsidRDefault="00105BD4" w:rsidP="00105BD4">
            <w:pPr>
              <w:jc w:val="center"/>
              <w:rPr>
                <w:rFonts w:ascii="Verdana" w:hAnsi="Verdana"/>
                <w:color w:val="E46713"/>
                <w:sz w:val="18"/>
                <w:szCs w:val="18"/>
              </w:rPr>
            </w:pPr>
            <w:r w:rsidRPr="00105BD4">
              <w:rPr>
                <w:rFonts w:ascii="Verdana" w:hAnsi="Verdana"/>
                <w:color w:val="E46713"/>
                <w:sz w:val="18"/>
                <w:szCs w:val="18"/>
              </w:rPr>
              <w:t>57,91%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48981" w14:textId="77777777" w:rsidR="00105BD4" w:rsidRPr="00105BD4" w:rsidRDefault="00105BD4" w:rsidP="00105BD4">
            <w:pPr>
              <w:jc w:val="center"/>
              <w:rPr>
                <w:rFonts w:ascii="Verdana" w:hAnsi="Verdana"/>
                <w:color w:val="E46713"/>
                <w:sz w:val="18"/>
                <w:szCs w:val="18"/>
              </w:rPr>
            </w:pPr>
            <w:r w:rsidRPr="00105BD4">
              <w:rPr>
                <w:rFonts w:ascii="Verdana" w:hAnsi="Verdana"/>
                <w:color w:val="E46713"/>
                <w:sz w:val="18"/>
                <w:szCs w:val="18"/>
              </w:rPr>
              <w:t>6,58%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C21F0" w14:textId="77777777" w:rsidR="00105BD4" w:rsidRPr="00105BD4" w:rsidRDefault="00105BD4" w:rsidP="00105BD4">
            <w:pPr>
              <w:jc w:val="center"/>
              <w:rPr>
                <w:rFonts w:ascii="Verdana" w:hAnsi="Verdana"/>
                <w:color w:val="E46713"/>
                <w:sz w:val="18"/>
                <w:szCs w:val="18"/>
              </w:rPr>
            </w:pPr>
            <w:r w:rsidRPr="00105BD4">
              <w:rPr>
                <w:rFonts w:ascii="Verdana" w:hAnsi="Verdana"/>
                <w:color w:val="E46713"/>
                <w:sz w:val="18"/>
                <w:szCs w:val="18"/>
              </w:rPr>
              <w:t>8,09%</w:t>
            </w:r>
          </w:p>
        </w:tc>
      </w:tr>
      <w:tr w:rsidR="00105BD4" w:rsidRPr="00105BD4" w14:paraId="3F573420" w14:textId="77777777" w:rsidTr="00105BD4">
        <w:trPr>
          <w:trHeight w:val="45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3FFBE" w14:textId="4ABF09C8" w:rsidR="00105BD4" w:rsidRPr="00105BD4" w:rsidRDefault="00105BD4" w:rsidP="00105BD4">
            <w:pPr>
              <w:rPr>
                <w:rFonts w:ascii="Verdana" w:hAnsi="Verdana"/>
                <w:b/>
                <w:bCs/>
                <w:color w:val="073A78"/>
                <w:sz w:val="18"/>
                <w:szCs w:val="18"/>
              </w:rPr>
            </w:pPr>
            <w:r w:rsidRPr="00105BD4">
              <w:rPr>
                <w:rFonts w:ascii="Verdana" w:hAnsi="Verdana"/>
                <w:b/>
                <w:bCs/>
                <w:color w:val="073A78"/>
                <w:sz w:val="18"/>
                <w:szCs w:val="18"/>
              </w:rPr>
              <w:t>DAX® (TR)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6EB38" w14:textId="77777777" w:rsidR="00105BD4" w:rsidRPr="00105BD4" w:rsidRDefault="00105BD4" w:rsidP="00105BD4">
            <w:pPr>
              <w:jc w:val="center"/>
              <w:rPr>
                <w:rFonts w:ascii="Verdana" w:hAnsi="Verdana"/>
                <w:b/>
                <w:bCs/>
                <w:color w:val="073A78"/>
                <w:sz w:val="18"/>
                <w:szCs w:val="18"/>
              </w:rPr>
            </w:pPr>
            <w:r w:rsidRPr="00105BD4">
              <w:rPr>
                <w:rFonts w:ascii="Verdana" w:hAnsi="Verdana"/>
                <w:b/>
                <w:bCs/>
                <w:color w:val="073A78"/>
                <w:sz w:val="18"/>
                <w:szCs w:val="18"/>
              </w:rPr>
              <w:t>71,07%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AC353" w14:textId="77777777" w:rsidR="00105BD4" w:rsidRPr="00105BD4" w:rsidRDefault="00105BD4" w:rsidP="00105BD4">
            <w:pPr>
              <w:jc w:val="center"/>
              <w:rPr>
                <w:rFonts w:ascii="Verdana" w:hAnsi="Verdana"/>
                <w:b/>
                <w:bCs/>
                <w:color w:val="073A78"/>
                <w:sz w:val="18"/>
                <w:szCs w:val="18"/>
              </w:rPr>
            </w:pPr>
            <w:r w:rsidRPr="00105BD4">
              <w:rPr>
                <w:rFonts w:ascii="Verdana" w:hAnsi="Verdana"/>
                <w:b/>
                <w:bCs/>
                <w:color w:val="073A78"/>
                <w:sz w:val="18"/>
                <w:szCs w:val="18"/>
              </w:rPr>
              <w:t>7,77%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403EC" w14:textId="77777777" w:rsidR="00105BD4" w:rsidRPr="00105BD4" w:rsidRDefault="00105BD4" w:rsidP="00105BD4">
            <w:pPr>
              <w:jc w:val="center"/>
              <w:rPr>
                <w:rFonts w:ascii="Verdana" w:hAnsi="Verdana"/>
                <w:b/>
                <w:bCs/>
                <w:color w:val="073A78"/>
                <w:sz w:val="18"/>
                <w:szCs w:val="18"/>
              </w:rPr>
            </w:pPr>
            <w:r w:rsidRPr="00105BD4">
              <w:rPr>
                <w:rFonts w:ascii="Verdana" w:hAnsi="Verdana"/>
                <w:b/>
                <w:bCs/>
                <w:color w:val="073A78"/>
                <w:sz w:val="18"/>
                <w:szCs w:val="18"/>
              </w:rPr>
              <w:t>16,94%</w:t>
            </w:r>
          </w:p>
        </w:tc>
      </w:tr>
    </w:tbl>
    <w:p w14:paraId="5ED003B4" w14:textId="355E3EF5" w:rsidR="00FB482B" w:rsidRDefault="00105BD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Im Zeitraum 01.08.2011 und 30.09.2018 </w:t>
      </w:r>
      <w:r w:rsidR="00230EA7">
        <w:rPr>
          <w:rFonts w:ascii="Verdana" w:hAnsi="Verdana"/>
          <w:sz w:val="18"/>
          <w:szCs w:val="18"/>
        </w:rPr>
        <w:t>wurde</w:t>
      </w:r>
      <w:r>
        <w:rPr>
          <w:rFonts w:ascii="Verdana" w:hAnsi="Verdana"/>
          <w:sz w:val="18"/>
          <w:szCs w:val="18"/>
        </w:rPr>
        <w:t xml:space="preserve"> </w:t>
      </w:r>
      <w:r w:rsidR="00230EA7">
        <w:rPr>
          <w:rFonts w:ascii="Verdana" w:hAnsi="Verdana"/>
          <w:sz w:val="18"/>
          <w:szCs w:val="18"/>
        </w:rPr>
        <w:t>ein hervorragendes Ergebnis kombiniert mit einem sehr treffenden Risikomanagement erreicht. Der Renditeunterschied vom rund 1% ist auf die in der FondsVermögensverwaltung enthaltenen und hier berücksichtigen Kosten zurückzuführen. Das Risiko ist, gemessen an der Volatilität, bei vergleichbarem Ergebnis nur halb so hoch!</w:t>
      </w:r>
      <w:r>
        <w:rPr>
          <w:rFonts w:ascii="Verdana" w:hAnsi="Verdana"/>
          <w:sz w:val="18"/>
          <w:szCs w:val="18"/>
        </w:rPr>
        <w:t xml:space="preserve"> </w:t>
      </w:r>
    </w:p>
    <w:p w14:paraId="4BCB6C8B" w14:textId="056C3830" w:rsidR="00230EA7" w:rsidRPr="00FB482B" w:rsidRDefault="00FB482B">
      <w:pPr>
        <w:rPr>
          <w:rFonts w:ascii="Verdana" w:hAnsi="Verdana"/>
          <w:b/>
          <w:bCs/>
          <w:sz w:val="18"/>
          <w:szCs w:val="18"/>
          <w:u w:val="single"/>
        </w:rPr>
      </w:pPr>
      <w:r w:rsidRPr="00FB482B">
        <w:rPr>
          <w:rFonts w:ascii="Verdana" w:hAnsi="Verdan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EE8A0E" wp14:editId="6D0B99D1">
                <wp:simplePos x="0" y="0"/>
                <wp:positionH relativeFrom="column">
                  <wp:posOffset>-137795</wp:posOffset>
                </wp:positionH>
                <wp:positionV relativeFrom="paragraph">
                  <wp:posOffset>132080</wp:posOffset>
                </wp:positionV>
                <wp:extent cx="6238875" cy="248602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2486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02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24"/>
                              <w:gridCol w:w="1360"/>
                              <w:gridCol w:w="2120"/>
                              <w:gridCol w:w="1200"/>
                            </w:tblGrid>
                            <w:tr w:rsidR="00230EA7" w:rsidRPr="00230EA7" w14:paraId="697511BC" w14:textId="77777777" w:rsidTr="00230EA7">
                              <w:trPr>
                                <w:trHeight w:val="300"/>
                              </w:trPr>
                              <w:tc>
                                <w:tcPr>
                                  <w:tcW w:w="3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9E189A" w14:textId="4EDB0761" w:rsidR="00230EA7" w:rsidRPr="00230EA7" w:rsidRDefault="00230EA7" w:rsidP="00230EA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3B6FCEA" wp14:editId="77477CA2">
                                        <wp:extent cx="6022800" cy="2402006"/>
                                        <wp:effectExtent l="0" t="0" r="0" b="0"/>
                                        <wp:docPr id="4" name="Grafik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22800" cy="24020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22D7D5" w14:textId="36035143" w:rsidR="00230EA7" w:rsidRPr="00230EA7" w:rsidRDefault="00230EA7" w:rsidP="00230EA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BF0B61" w14:textId="42223977" w:rsidR="00230EA7" w:rsidRPr="00230EA7" w:rsidRDefault="00230EA7" w:rsidP="00230EA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244B99" w14:textId="455DFF91" w:rsidR="00230EA7" w:rsidRPr="00230EA7" w:rsidRDefault="00230EA7" w:rsidP="00230EA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lang w:eastAsia="de-DE"/>
                                    </w:rPr>
                                  </w:pPr>
                                </w:p>
                              </w:tc>
                            </w:tr>
                            <w:tr w:rsidR="00230EA7" w:rsidRPr="00230EA7" w14:paraId="66A9AB62" w14:textId="77777777" w:rsidTr="00230EA7">
                              <w:trPr>
                                <w:trHeight w:val="300"/>
                              </w:trPr>
                              <w:tc>
                                <w:tcPr>
                                  <w:tcW w:w="3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365275" w14:textId="51E915C6" w:rsidR="00230EA7" w:rsidRPr="00230EA7" w:rsidRDefault="00230EA7" w:rsidP="00230EA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062153" w14:textId="216F9D0F" w:rsidR="00230EA7" w:rsidRPr="00230EA7" w:rsidRDefault="00230EA7" w:rsidP="00230E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3970A7" w14:textId="23C39674" w:rsidR="00230EA7" w:rsidRPr="00230EA7" w:rsidRDefault="00230EA7" w:rsidP="00230E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A3881D" w14:textId="385158AC" w:rsidR="00230EA7" w:rsidRPr="00230EA7" w:rsidRDefault="00230EA7" w:rsidP="00230E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lang w:eastAsia="de-DE"/>
                                    </w:rPr>
                                  </w:pPr>
                                </w:p>
                              </w:tc>
                            </w:tr>
                            <w:tr w:rsidR="00230EA7" w:rsidRPr="00230EA7" w14:paraId="75AE9383" w14:textId="77777777" w:rsidTr="00230EA7">
                              <w:trPr>
                                <w:trHeight w:val="300"/>
                              </w:trPr>
                              <w:tc>
                                <w:tcPr>
                                  <w:tcW w:w="3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20A931" w14:textId="57CE543B" w:rsidR="00230EA7" w:rsidRPr="00230EA7" w:rsidRDefault="00230EA7" w:rsidP="00230EA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07876D" w14:textId="26BA6556" w:rsidR="00230EA7" w:rsidRPr="00230EA7" w:rsidRDefault="00230EA7" w:rsidP="00230E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E35D82" w14:textId="5B78073C" w:rsidR="00230EA7" w:rsidRPr="00230EA7" w:rsidRDefault="00230EA7" w:rsidP="00230E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86EFEA" w14:textId="75F53826" w:rsidR="00230EA7" w:rsidRPr="00230EA7" w:rsidRDefault="00230EA7" w:rsidP="00230E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lang w:eastAsia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A82C1B" w14:textId="77777777" w:rsidR="00230EA7" w:rsidRDefault="00230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E8A0E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8" type="#_x0000_t202" style="position:absolute;margin-left:-10.85pt;margin-top:10.4pt;width:491.25pt;height:19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noMwIAAFkEAAAOAAAAZHJzL2Uyb0RvYy54bWysVE2P2jAQvVfqf7B8LwnhY1lEWNFdUVVC&#10;uytBtWfj2CSS43FtQ0J/fccOYdG2p6oXM/ZMZua9N8Pioa0VOQnrKtA5HQ5SSoTmUFT6kNMfu/WX&#10;GSXOM10wBVrk9CwcfVh+/rRozFxkUIIqhCWYRLt5Y3Jaem/mSeJ4KWrmBmCERqcEWzOPV3tICssa&#10;zF6rJEvTadKALYwFLpzD16fOSZcxv5SC+xcpnfBE5RR78/G08dyHM1ku2PxgmSkrfmmD/UMXNas0&#10;Fr2memKekaOt/khVV9yCA+kHHOoEpKy4iBgQzTD9gGZbMiMiFiTHmStN7v+l5c+nV0uqIqcjSjSr&#10;UaKdaL0UqiCjwE5j3ByDtgbDfPsVWlS5f3f4GEC30tbhF+EQ9CPP5yu3mIxwfJxmo9nsbkIJR182&#10;nk3TbBLyJO+fG+v8NwE1CUZOLYoXOWWnjfNdaB8SqmlYV0pFAZUmDZYYTdL4wdWDyZXGGgFE12yw&#10;fLtvI+SsB7KH4oz4LHTz4QxfV9jDhjn/yiwOBELCIfcveEgFWAsuFiUl2F9/ew/xqBN6KWlwwHLq&#10;fh6ZFZSo7xoVvB+Ox2Ei42U8ucvwYm89+1uPPtaPgDM8xHUyPJoh3qvelBbqN9yFVaiKLqY51s6p&#10;781H34097hIXq1UMwhk0zG/01vCQOrAaGN61b8yaiwweFXyGfhTZ/IMaXWynx+roQVZRqsBzx+qF&#10;fpzfKPZl18KC3N5j1Ps/wvI3AAAA//8DAFBLAwQUAAYACAAAACEAgRsweOIAAAAKAQAADwAAAGRy&#10;cy9kb3ducmV2LnhtbEyPTU/CQBCG7yb+h82YeINtV0WonRLShJgYOYBcuE27S9u4H7W7QPXXu5z0&#10;NpN58s7z5svRaHZWg++cRUinCTBlayc72yDsP9aTOTAfyErSziqEb+VhWdze5JRJd7Fbdd6FhsUQ&#10;6zNCaEPoM8593SpDfup6ZePt6AZDIa5Dw+VAlxhuNBdJMuOGOhs/tNSrslX15+5kEN7K9Ya2lTDz&#10;H12+vh9X/df+8IR4fzeuXoAFNYY/GK76UR2K6FS5k5WeaYSJSJ8jiiCSWCECi9l1qBAeU/EAvMj5&#10;/wrFLwAAAP//AwBQSwECLQAUAAYACAAAACEAtoM4kv4AAADhAQAAEwAAAAAAAAAAAAAAAAAAAAAA&#10;W0NvbnRlbnRfVHlwZXNdLnhtbFBLAQItABQABgAIAAAAIQA4/SH/1gAAAJQBAAALAAAAAAAAAAAA&#10;AAAAAC8BAABfcmVscy8ucmVsc1BLAQItABQABgAIAAAAIQBfTcnoMwIAAFkEAAAOAAAAAAAAAAAA&#10;AAAAAC4CAABkcnMvZTJvRG9jLnhtbFBLAQItABQABgAIAAAAIQCBGzB44gAAAAoBAAAPAAAAAAAA&#10;AAAAAAAAAI0EAABkcnMvZG93bnJldi54bWxQSwUGAAAAAAQABADzAAAAnAUAAAAA&#10;" filled="f" stroked="f" strokeweight=".5pt">
                <v:textbox>
                  <w:txbxContent>
                    <w:tbl>
                      <w:tblPr>
                        <w:tblW w:w="802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24"/>
                        <w:gridCol w:w="1360"/>
                        <w:gridCol w:w="2120"/>
                        <w:gridCol w:w="1200"/>
                      </w:tblGrid>
                      <w:tr w:rsidR="00230EA7" w:rsidRPr="00230EA7" w14:paraId="697511BC" w14:textId="77777777" w:rsidTr="00230EA7">
                        <w:trPr>
                          <w:trHeight w:val="300"/>
                        </w:trPr>
                        <w:tc>
                          <w:tcPr>
                            <w:tcW w:w="3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B9E189A" w14:textId="4EDB0761" w:rsidR="00230EA7" w:rsidRPr="00230EA7" w:rsidRDefault="00230EA7" w:rsidP="00230EA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B6FCEA" wp14:editId="77477CA2">
                                  <wp:extent cx="6022800" cy="2402006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22800" cy="24020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B22D7D5" w14:textId="36035143" w:rsidR="00230EA7" w:rsidRPr="00230EA7" w:rsidRDefault="00230EA7" w:rsidP="00230EA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2BF0B61" w14:textId="42223977" w:rsidR="00230EA7" w:rsidRPr="00230EA7" w:rsidRDefault="00230EA7" w:rsidP="00230EA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6244B99" w14:textId="455DFF91" w:rsidR="00230EA7" w:rsidRPr="00230EA7" w:rsidRDefault="00230EA7" w:rsidP="00230EA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lang w:eastAsia="de-DE"/>
                              </w:rPr>
                            </w:pPr>
                          </w:p>
                        </w:tc>
                      </w:tr>
                      <w:tr w:rsidR="00230EA7" w:rsidRPr="00230EA7" w14:paraId="66A9AB62" w14:textId="77777777" w:rsidTr="00230EA7">
                        <w:trPr>
                          <w:trHeight w:val="300"/>
                        </w:trPr>
                        <w:tc>
                          <w:tcPr>
                            <w:tcW w:w="3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B365275" w14:textId="51E915C6" w:rsidR="00230EA7" w:rsidRPr="00230EA7" w:rsidRDefault="00230EA7" w:rsidP="00230EA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E062153" w14:textId="216F9D0F" w:rsidR="00230EA7" w:rsidRPr="00230EA7" w:rsidRDefault="00230EA7" w:rsidP="00230EA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C3970A7" w14:textId="23C39674" w:rsidR="00230EA7" w:rsidRPr="00230EA7" w:rsidRDefault="00230EA7" w:rsidP="00230EA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2A3881D" w14:textId="385158AC" w:rsidR="00230EA7" w:rsidRPr="00230EA7" w:rsidRDefault="00230EA7" w:rsidP="00230EA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lang w:eastAsia="de-DE"/>
                              </w:rPr>
                            </w:pPr>
                          </w:p>
                        </w:tc>
                      </w:tr>
                      <w:tr w:rsidR="00230EA7" w:rsidRPr="00230EA7" w14:paraId="75AE9383" w14:textId="77777777" w:rsidTr="00230EA7">
                        <w:trPr>
                          <w:trHeight w:val="300"/>
                        </w:trPr>
                        <w:tc>
                          <w:tcPr>
                            <w:tcW w:w="3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620A931" w14:textId="57CE543B" w:rsidR="00230EA7" w:rsidRPr="00230EA7" w:rsidRDefault="00230EA7" w:rsidP="00230EA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E07876D" w14:textId="26BA6556" w:rsidR="00230EA7" w:rsidRPr="00230EA7" w:rsidRDefault="00230EA7" w:rsidP="00230EA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1E35D82" w14:textId="5B78073C" w:rsidR="00230EA7" w:rsidRPr="00230EA7" w:rsidRDefault="00230EA7" w:rsidP="00230EA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A86EFEA" w14:textId="75F53826" w:rsidR="00230EA7" w:rsidRPr="00230EA7" w:rsidRDefault="00230EA7" w:rsidP="00230EA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lang w:eastAsia="de-DE"/>
                              </w:rPr>
                            </w:pPr>
                          </w:p>
                        </w:tc>
                      </w:tr>
                    </w:tbl>
                    <w:p w14:paraId="17A82C1B" w14:textId="77777777" w:rsidR="00230EA7" w:rsidRDefault="00230EA7"/>
                  </w:txbxContent>
                </v:textbox>
              </v:shape>
            </w:pict>
          </mc:Fallback>
        </mc:AlternateContent>
      </w:r>
      <w:r w:rsidRPr="00FB482B">
        <w:rPr>
          <w:rFonts w:ascii="Verdana" w:hAnsi="Verdan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22510" wp14:editId="1232D040">
                <wp:simplePos x="0" y="0"/>
                <wp:positionH relativeFrom="column">
                  <wp:posOffset>3586480</wp:posOffset>
                </wp:positionH>
                <wp:positionV relativeFrom="paragraph">
                  <wp:posOffset>627380</wp:posOffset>
                </wp:positionV>
                <wp:extent cx="1447800" cy="1895475"/>
                <wp:effectExtent l="0" t="0" r="19050" b="2857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895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C4B895" id="Ellipse 7" o:spid="_x0000_s1026" style="position:absolute;margin-left:282.4pt;margin-top:49.4pt;width:114pt;height:1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HsmAIAAIcFAAAOAAAAZHJzL2Uyb0RvYy54bWysVMFu2zAMvQ/YPwi6r3aCZGmNOkXQLsOA&#10;og3WDj0rshQbkEVNUuJkXz9Kst2gK3YY5oMsiuSj+ETy+ubYKnIQ1jWgSzq5yCkRmkPV6F1Jfzyv&#10;P11S4jzTFVOgRUlPwtGb5ccP150pxBRqUJWwBEG0KzpT0tp7U2SZ47VombsAIzQqJdiWeRTtLqss&#10;6xC9Vdk0zz9nHdjKWODCOTy9S0q6jPhSCu4fpXTCE1VSvJuPq43rNqzZ8poVO8tM3fD+GuwfbtGy&#10;RmPQEeqOeUb2tvkDqm24BQfSX3BoM5Cy4SLmgNlM8jfZPNXMiJgLkuPMSJP7f7D84bCxpKlKuqBE&#10;sxaf6ItSjXGCLAI5nXEF2jyZje0lh9uQ6VHaNvwxB3KMhJ5GQsXRE46Hk9lscZkj7xx1k8ur+Wwx&#10;D6jZq7uxzn8V0JKwKalIwSOX7HDvfLIerEJADetGKTxnhdJhdaCaKpxFwe62t8qSA8MXX6/zfL3u&#10;I56ZYfzgmoXsUj5x509KJNjvQiIpmME03iSWoxhhGedC+0lS1awSKdo8x28IFgo4eMRklUbAgCzx&#10;liN2DzBYJpABO+Xd2wdXEat5dM7/drHkPHrEyKD96Nw2Gux7AAqz6iMn+4GkRE1gaQvVCUvGQuol&#10;Z/i6wae7Z85vmMXmwefGgeAfcZEKupJCv6OkBvvrvfNgjzWNWko6bMaSup97ZgUl6pvGar/CQgrd&#10;G4XZfDFFwZ5rtucavW9vAV9/gqPH8LgN9l4NW2mhfcG5sQpRUcU0x9gl5d4Owq1PQwInDxerVTTD&#10;jjXM3+snwwN4YDXU5fPxhVnT16/H0n+AoXFZ8aaGk23w1LDae5BNLPBXXnu+sdtj4fSTKYyTczla&#10;vc7P5W8AAAD//wMAUEsDBBQABgAIAAAAIQCMJH6w4QAAAAoBAAAPAAAAZHJzL2Rvd25yZXYueG1s&#10;TI/NTsMwEITvSLyDtUjcqNOmf0njVAipouIEhQu3bbxNosZ2iJ0m5elZTnDaHe1o5ttsO5pGXKjz&#10;tbMKppMIBNnC6dqWCj7edw9rED6g1dg4Swqu5GGb395kmGo32De6HEIpOMT6FBVUIbSplL6oyKCf&#10;uJYs306uMxhYdqXUHQ4cbho5i6KlNFhbbqiwpaeKivOhNwqG3ffi9bSP9vP++dNdY3o5J/il1P3d&#10;+LgBEWgMf2b4xWd0yJnp6HqrvWgULJZzRg8KkjVPNqySGS9HBXGyikHmmfz/Qv4DAAD//wMAUEsB&#10;Ai0AFAAGAAgAAAAhALaDOJL+AAAA4QEAABMAAAAAAAAAAAAAAAAAAAAAAFtDb250ZW50X1R5cGVz&#10;XS54bWxQSwECLQAUAAYACAAAACEAOP0h/9YAAACUAQAACwAAAAAAAAAAAAAAAAAvAQAAX3JlbHMv&#10;LnJlbHNQSwECLQAUAAYACAAAACEAAJCR7JgCAACHBQAADgAAAAAAAAAAAAAAAAAuAgAAZHJzL2Uy&#10;b0RvYy54bWxQSwECLQAUAAYACAAAACEAjCR+sOEAAAAKAQAADwAAAAAAAAAAAAAAAADyBAAAZHJz&#10;L2Rvd25yZXYueG1sUEsFBgAAAAAEAAQA8wAAAAAGAAAAAA==&#10;" filled="f" strokecolor="fuchsia" strokeweight="2pt"/>
            </w:pict>
          </mc:Fallback>
        </mc:AlternateContent>
      </w:r>
      <w:r w:rsidRPr="00FB482B">
        <w:rPr>
          <w:rFonts w:ascii="Verdana" w:hAnsi="Verdan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8C18A" wp14:editId="23B44ADA">
                <wp:simplePos x="0" y="0"/>
                <wp:positionH relativeFrom="column">
                  <wp:posOffset>1100455</wp:posOffset>
                </wp:positionH>
                <wp:positionV relativeFrom="paragraph">
                  <wp:posOffset>1217929</wp:posOffset>
                </wp:positionV>
                <wp:extent cx="962025" cy="1209675"/>
                <wp:effectExtent l="0" t="0" r="28575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209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EB0D4A" id="Ellipse 6" o:spid="_x0000_s1026" style="position:absolute;margin-left:86.65pt;margin-top:95.9pt;width:75.75pt;height:9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wImAIAAIYFAAAOAAAAZHJzL2Uyb0RvYy54bWysVMFu2zAMvQ/YPwi6r3aMJl2NOkXQLsOA&#10;oi3WDj0rshQbkEVNUuJkXz9Kst2gK3YY5oMsiuSj+ETy6vrQKbIX1rWgKzo7yykRmkPd6m1Ffzyv&#10;P32mxHmma6ZAi4oehaPXy48frnpTigIaULWwBEG0K3tT0cZ7U2aZ443omDsDIzQqJdiOeRTtNqst&#10;6xG9U1mR54usB1sbC1w4h6e3SUmXEV9Kwf2DlE54oiqKd/NxtXHdhDVbXrFya5lpWj5cg/3DLTrW&#10;agw6Qd0yz8jOtn9AdS234ED6Mw5dBlK2XMQcMJtZ/iabp4YZEXNBcpyZaHL/D5bf7x8taeuKLijR&#10;rMMn+qJUa5wgi0BOb1yJNk/m0Q6Sw23I9CBtF/6YAzlEQo8ToeLgCcfDy0WRF3NKOKpmRX65uJgH&#10;0OzV21jnvwroSNhUVKTYkUq2v3M+WY9WIZ6GdasUnrNS6bA6UG0dzqJgt5sbZcme4YOv13m+Xg8R&#10;T8wwfnDNQnIpnbjzRyUS7HchkRNMoIg3idUoJljGudB+llQNq0WKNs/xG4OF+g0eMVmlETAgS7zl&#10;hD0AjJYJZMROeQ/2wVXEYp6c879dLDlPHjEyaD85d60G+x6AwqyGyMl+JClRE1jaQH3EirGQWskZ&#10;vm7x6e6Y84/MYu9gl+E88A+4SAV9RWHYUdKA/fXeebDHkkYtJT32YkXdzx2zghL1TWOxX87Oz0Pz&#10;RuF8flGgYE81m1ON3nU3gK8/w8ljeNwGe6/GrbTQveDYWIWoqGKaY+yKcm9H4canGYGDh4vVKpph&#10;wxrm7/ST4QE8sBrq8vnwwqwZ6tdj5d/D2LesfFPDyTZ4aljtPMg2FvgrrwPf2OyxcIbBFKbJqRyt&#10;Xsfn8jcAAAD//wMAUEsDBBQABgAIAAAAIQA9clhG3wAAAAsBAAAPAAAAZHJzL2Rvd25yZXYueG1s&#10;TI/BTsMwEETvSPyDtUjcqNO4QBviVAipouIEhQs3N94mUeN1iJ0m5etZTnCb0Y5m3+TrybXihH1o&#10;PGmYzxIQSKW3DVUaPt43N0sQIRqypvWEGs4YYF1cXuQms36kNzztYiW4hEJmNNQxdpmUoazRmTDz&#10;HRLfDr53JrLtK2l7M3K5a2WaJHfSmYb4Q206fKqxPO4Gp2HcfN++HrbJdjE8f/qzwpfjynxpfX01&#10;PT6AiDjFvzD84jM6FMy09wPZIFr290pxlMVqzhs4odIFiz2LZapAFrn8v6H4AQAA//8DAFBLAQIt&#10;ABQABgAIAAAAIQC2gziS/gAAAOEBAAATAAAAAAAAAAAAAAAAAAAAAABbQ29udGVudF9UeXBlc10u&#10;eG1sUEsBAi0AFAAGAAgAAAAhADj9If/WAAAAlAEAAAsAAAAAAAAAAAAAAAAALwEAAF9yZWxzLy5y&#10;ZWxzUEsBAi0AFAAGAAgAAAAhAO24XAiYAgAAhgUAAA4AAAAAAAAAAAAAAAAALgIAAGRycy9lMm9E&#10;b2MueG1sUEsBAi0AFAAGAAgAAAAhAD1yWEbfAAAACwEAAA8AAAAAAAAAAAAAAAAA8gQAAGRycy9k&#10;b3ducmV2LnhtbFBLBQYAAAAABAAEAPMAAAD+BQAAAAA=&#10;" filled="f" strokecolor="fuchsia" strokeweight="2pt"/>
            </w:pict>
          </mc:Fallback>
        </mc:AlternateContent>
      </w:r>
      <w:r w:rsidR="00230EA7" w:rsidRPr="00FB482B">
        <w:rPr>
          <w:rFonts w:ascii="Verdana" w:hAnsi="Verdana"/>
          <w:b/>
          <w:bCs/>
          <w:sz w:val="18"/>
          <w:szCs w:val="18"/>
          <w:u w:val="single"/>
        </w:rPr>
        <w:t>Grafik 2</w:t>
      </w:r>
    </w:p>
    <w:p w14:paraId="615C5881" w14:textId="2147130C" w:rsidR="00FB482B" w:rsidRPr="00FB482B" w:rsidRDefault="00FB482B" w:rsidP="00FB482B">
      <w:pPr>
        <w:rPr>
          <w:rFonts w:ascii="Verdana" w:hAnsi="Verdana"/>
          <w:sz w:val="18"/>
          <w:szCs w:val="18"/>
        </w:rPr>
      </w:pPr>
    </w:p>
    <w:p w14:paraId="3EB277D9" w14:textId="5FAC8B0F" w:rsidR="00FB482B" w:rsidRPr="00FB482B" w:rsidRDefault="00FB482B" w:rsidP="00FB482B">
      <w:pPr>
        <w:rPr>
          <w:rFonts w:ascii="Verdana" w:hAnsi="Verdana"/>
          <w:sz w:val="18"/>
          <w:szCs w:val="18"/>
        </w:rPr>
      </w:pPr>
    </w:p>
    <w:p w14:paraId="795FA65F" w14:textId="657E883D" w:rsidR="00FB482B" w:rsidRPr="00FB482B" w:rsidRDefault="00FB482B" w:rsidP="00FB482B">
      <w:pPr>
        <w:rPr>
          <w:rFonts w:ascii="Verdana" w:hAnsi="Verdana"/>
          <w:sz w:val="18"/>
          <w:szCs w:val="18"/>
        </w:rPr>
      </w:pPr>
    </w:p>
    <w:p w14:paraId="423D8492" w14:textId="4D13AAE8" w:rsidR="00FB482B" w:rsidRPr="00FB482B" w:rsidRDefault="00FB482B" w:rsidP="00FB482B">
      <w:pPr>
        <w:rPr>
          <w:rFonts w:ascii="Verdana" w:hAnsi="Verdana"/>
          <w:sz w:val="18"/>
          <w:szCs w:val="18"/>
        </w:rPr>
      </w:pPr>
    </w:p>
    <w:p w14:paraId="06906645" w14:textId="6CB00C54" w:rsidR="00FB482B" w:rsidRPr="00FB482B" w:rsidRDefault="00FB482B" w:rsidP="00FB482B">
      <w:pPr>
        <w:rPr>
          <w:rFonts w:ascii="Verdana" w:hAnsi="Verdana"/>
          <w:sz w:val="18"/>
          <w:szCs w:val="18"/>
        </w:rPr>
      </w:pPr>
    </w:p>
    <w:p w14:paraId="38D5D340" w14:textId="7E1604E7" w:rsidR="00FB482B" w:rsidRPr="00FB482B" w:rsidRDefault="00FB482B" w:rsidP="00FB482B">
      <w:pPr>
        <w:rPr>
          <w:rFonts w:ascii="Verdana" w:hAnsi="Verdana"/>
          <w:sz w:val="18"/>
          <w:szCs w:val="18"/>
        </w:rPr>
      </w:pPr>
    </w:p>
    <w:p w14:paraId="2DC71D23" w14:textId="4AB58E12" w:rsidR="00FB482B" w:rsidRPr="00FB482B" w:rsidRDefault="00FB482B" w:rsidP="00FB482B">
      <w:pPr>
        <w:rPr>
          <w:rFonts w:ascii="Verdana" w:hAnsi="Verdana"/>
          <w:sz w:val="18"/>
          <w:szCs w:val="18"/>
        </w:rPr>
      </w:pPr>
    </w:p>
    <w:p w14:paraId="321837E2" w14:textId="6624AFCB" w:rsidR="00FB482B" w:rsidRPr="00FB482B" w:rsidRDefault="00FB482B" w:rsidP="00FB482B">
      <w:pPr>
        <w:rPr>
          <w:rFonts w:ascii="Verdana" w:hAnsi="Verdana"/>
          <w:sz w:val="18"/>
          <w:szCs w:val="18"/>
        </w:rPr>
      </w:pPr>
    </w:p>
    <w:p w14:paraId="23049C43" w14:textId="77777777" w:rsidR="00FB482B" w:rsidRDefault="00FB482B" w:rsidP="00FB482B">
      <w:pPr>
        <w:rPr>
          <w:rFonts w:ascii="Verdana" w:hAnsi="Verdana"/>
          <w:b/>
          <w:bCs/>
          <w:sz w:val="18"/>
          <w:szCs w:val="18"/>
        </w:rPr>
      </w:pPr>
    </w:p>
    <w:p w14:paraId="131A17AF" w14:textId="77777777" w:rsidR="00FB482B" w:rsidRDefault="00FB482B" w:rsidP="00FB482B">
      <w:pPr>
        <w:rPr>
          <w:rFonts w:ascii="Verdana" w:hAnsi="Verdana"/>
          <w:sz w:val="18"/>
          <w:szCs w:val="18"/>
        </w:rPr>
      </w:pPr>
      <w:r w:rsidRPr="00FB482B">
        <w:rPr>
          <w:rFonts w:ascii="Verdana" w:hAnsi="Verdana"/>
          <w:sz w:val="18"/>
          <w:szCs w:val="18"/>
        </w:rPr>
        <w:t xml:space="preserve">Deutliche Probleme der Trend 200-Konzepte aber in den letzten beiden Jahren durch ein zweimaliges Auftreten von </w:t>
      </w:r>
      <w:proofErr w:type="gramStart"/>
      <w:r w:rsidRPr="00FB482B">
        <w:rPr>
          <w:rFonts w:ascii="Verdana" w:hAnsi="Verdana"/>
          <w:sz w:val="18"/>
          <w:szCs w:val="18"/>
        </w:rPr>
        <w:t>extrem schnellen</w:t>
      </w:r>
      <w:proofErr w:type="gramEnd"/>
      <w:r w:rsidRPr="00FB482B">
        <w:rPr>
          <w:rFonts w:ascii="Verdana" w:hAnsi="Verdana"/>
          <w:sz w:val="18"/>
          <w:szCs w:val="18"/>
        </w:rPr>
        <w:t xml:space="preserve"> „V“-Aktienmarktszenarien</w:t>
      </w:r>
      <w:r>
        <w:rPr>
          <w:rFonts w:ascii="Verdana" w:hAnsi="Verdana"/>
          <w:sz w:val="18"/>
          <w:szCs w:val="18"/>
        </w:rPr>
        <w:t>.</w:t>
      </w:r>
    </w:p>
    <w:p w14:paraId="157B40D3" w14:textId="77777777" w:rsidR="00FB482B" w:rsidRDefault="00FB482B" w:rsidP="00FB482B">
      <w:pPr>
        <w:rPr>
          <w:rFonts w:ascii="Verdana" w:hAnsi="Verdana"/>
          <w:color w:val="E46713"/>
          <w:sz w:val="18"/>
          <w:szCs w:val="18"/>
        </w:rPr>
      </w:pPr>
    </w:p>
    <w:p w14:paraId="04544063" w14:textId="5852F150" w:rsidR="00FB482B" w:rsidRPr="00FB482B" w:rsidRDefault="00FB482B" w:rsidP="00FB482B">
      <w:pPr>
        <w:rPr>
          <w:rFonts w:ascii="Verdana" w:hAnsi="Verdana"/>
          <w:color w:val="E46713"/>
          <w:sz w:val="16"/>
          <w:szCs w:val="16"/>
        </w:rPr>
      </w:pPr>
      <w:r w:rsidRPr="00FB482B">
        <w:rPr>
          <w:rFonts w:ascii="Verdana" w:hAnsi="Verdana"/>
          <w:color w:val="E46713"/>
          <w:sz w:val="18"/>
          <w:szCs w:val="18"/>
        </w:rPr>
        <w:t>WICHTIGER HINWEIS:</w:t>
      </w:r>
      <w:r w:rsidRPr="00FB482B">
        <w:rPr>
          <w:rFonts w:ascii="Verdana" w:hAnsi="Verdana"/>
          <w:color w:val="E46713"/>
          <w:sz w:val="18"/>
          <w:szCs w:val="18"/>
        </w:rPr>
        <w:br/>
      </w:r>
      <w:r w:rsidRPr="00FB482B">
        <w:rPr>
          <w:rFonts w:ascii="Verdana" w:hAnsi="Verdana"/>
          <w:color w:val="E46713"/>
          <w:sz w:val="16"/>
          <w:szCs w:val="16"/>
        </w:rPr>
        <w:t>Quelle: FVBS, BVI-Methode, ohne Gewähr!</w:t>
      </w:r>
      <w:r w:rsidRPr="00FB482B">
        <w:rPr>
          <w:rFonts w:ascii="Verdana" w:hAnsi="Verdana"/>
          <w:color w:val="E46713"/>
          <w:sz w:val="16"/>
          <w:szCs w:val="16"/>
        </w:rPr>
        <w:br/>
        <w:t>Ergebnisse der Vergangenheit sind keine Garantie für zukünftige Entwicklungen.</w:t>
      </w:r>
      <w:r>
        <w:rPr>
          <w:rFonts w:ascii="Verdana" w:hAnsi="Verdana"/>
          <w:color w:val="E46713"/>
          <w:sz w:val="16"/>
          <w:szCs w:val="16"/>
        </w:rPr>
        <w:br/>
      </w:r>
      <w:r w:rsidRPr="00FB482B">
        <w:rPr>
          <w:rFonts w:ascii="Verdana" w:hAnsi="Verdana"/>
          <w:color w:val="E46713"/>
          <w:sz w:val="16"/>
          <w:szCs w:val="16"/>
        </w:rPr>
        <w:t>Die Beispiele gelten ausschließlich der Illustration und stellen keinerlei Handlings</w:t>
      </w:r>
      <w:r>
        <w:rPr>
          <w:rFonts w:ascii="Verdana" w:hAnsi="Verdana"/>
          <w:color w:val="E46713"/>
          <w:sz w:val="16"/>
          <w:szCs w:val="16"/>
        </w:rPr>
        <w:t>-</w:t>
      </w:r>
      <w:r w:rsidRPr="00FB482B">
        <w:rPr>
          <w:rFonts w:ascii="Verdana" w:hAnsi="Verdana"/>
          <w:color w:val="E46713"/>
          <w:sz w:val="16"/>
          <w:szCs w:val="16"/>
        </w:rPr>
        <w:t>Empfehlung dar.</w:t>
      </w:r>
    </w:p>
    <w:sectPr w:rsidR="00FB482B" w:rsidRPr="00FB48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E0"/>
    <w:rsid w:val="00011BBF"/>
    <w:rsid w:val="00013D8D"/>
    <w:rsid w:val="0002267F"/>
    <w:rsid w:val="00023F2C"/>
    <w:rsid w:val="00027BF6"/>
    <w:rsid w:val="00031125"/>
    <w:rsid w:val="00031944"/>
    <w:rsid w:val="00032349"/>
    <w:rsid w:val="000332B8"/>
    <w:rsid w:val="00036978"/>
    <w:rsid w:val="00055497"/>
    <w:rsid w:val="00057A49"/>
    <w:rsid w:val="00070994"/>
    <w:rsid w:val="000712F0"/>
    <w:rsid w:val="0007496B"/>
    <w:rsid w:val="0007519C"/>
    <w:rsid w:val="0008189A"/>
    <w:rsid w:val="00087DA9"/>
    <w:rsid w:val="00091BD9"/>
    <w:rsid w:val="00091CB4"/>
    <w:rsid w:val="00095A7E"/>
    <w:rsid w:val="000A5890"/>
    <w:rsid w:val="000A5964"/>
    <w:rsid w:val="000A6BC3"/>
    <w:rsid w:val="000B2A94"/>
    <w:rsid w:val="000B540F"/>
    <w:rsid w:val="000C2A48"/>
    <w:rsid w:val="000D222B"/>
    <w:rsid w:val="000D2899"/>
    <w:rsid w:val="000D6379"/>
    <w:rsid w:val="000D7ABD"/>
    <w:rsid w:val="000E3235"/>
    <w:rsid w:val="000E3572"/>
    <w:rsid w:val="000E3B9D"/>
    <w:rsid w:val="000F1B36"/>
    <w:rsid w:val="000F30B8"/>
    <w:rsid w:val="000F3294"/>
    <w:rsid w:val="000F537A"/>
    <w:rsid w:val="00102A49"/>
    <w:rsid w:val="00103050"/>
    <w:rsid w:val="001051D2"/>
    <w:rsid w:val="0010542C"/>
    <w:rsid w:val="00105BD4"/>
    <w:rsid w:val="00111B31"/>
    <w:rsid w:val="00121D33"/>
    <w:rsid w:val="001260DA"/>
    <w:rsid w:val="00126999"/>
    <w:rsid w:val="00127480"/>
    <w:rsid w:val="0013089D"/>
    <w:rsid w:val="00131614"/>
    <w:rsid w:val="00136F39"/>
    <w:rsid w:val="0014158D"/>
    <w:rsid w:val="00144038"/>
    <w:rsid w:val="0014433B"/>
    <w:rsid w:val="001478E1"/>
    <w:rsid w:val="001552A4"/>
    <w:rsid w:val="0015571F"/>
    <w:rsid w:val="00164053"/>
    <w:rsid w:val="00166802"/>
    <w:rsid w:val="00166A12"/>
    <w:rsid w:val="00171889"/>
    <w:rsid w:val="001729DC"/>
    <w:rsid w:val="00172C9A"/>
    <w:rsid w:val="00180AA9"/>
    <w:rsid w:val="0019127E"/>
    <w:rsid w:val="00192A01"/>
    <w:rsid w:val="001939CB"/>
    <w:rsid w:val="00194ACC"/>
    <w:rsid w:val="001A6BA0"/>
    <w:rsid w:val="001B1FC9"/>
    <w:rsid w:val="001D0B3E"/>
    <w:rsid w:val="001D0E3E"/>
    <w:rsid w:val="001D13F4"/>
    <w:rsid w:val="001E79FA"/>
    <w:rsid w:val="001F033C"/>
    <w:rsid w:val="001F11C4"/>
    <w:rsid w:val="001F386D"/>
    <w:rsid w:val="002022CD"/>
    <w:rsid w:val="00202F1E"/>
    <w:rsid w:val="002062F4"/>
    <w:rsid w:val="00211C90"/>
    <w:rsid w:val="00214770"/>
    <w:rsid w:val="00214AF1"/>
    <w:rsid w:val="00216245"/>
    <w:rsid w:val="00216DAC"/>
    <w:rsid w:val="00221184"/>
    <w:rsid w:val="00221286"/>
    <w:rsid w:val="00225753"/>
    <w:rsid w:val="00227F01"/>
    <w:rsid w:val="00230EA7"/>
    <w:rsid w:val="002330F6"/>
    <w:rsid w:val="00234785"/>
    <w:rsid w:val="00240E08"/>
    <w:rsid w:val="00246F37"/>
    <w:rsid w:val="0025470E"/>
    <w:rsid w:val="00263F9A"/>
    <w:rsid w:val="002703A4"/>
    <w:rsid w:val="002710D4"/>
    <w:rsid w:val="00274F22"/>
    <w:rsid w:val="00275E62"/>
    <w:rsid w:val="0027741C"/>
    <w:rsid w:val="00277C44"/>
    <w:rsid w:val="002871FE"/>
    <w:rsid w:val="00294C7E"/>
    <w:rsid w:val="002A60EA"/>
    <w:rsid w:val="002C2950"/>
    <w:rsid w:val="002D6E29"/>
    <w:rsid w:val="002D7B75"/>
    <w:rsid w:val="002E5156"/>
    <w:rsid w:val="002F16EB"/>
    <w:rsid w:val="00301E6D"/>
    <w:rsid w:val="003051A3"/>
    <w:rsid w:val="003073DD"/>
    <w:rsid w:val="00316BA2"/>
    <w:rsid w:val="00317D90"/>
    <w:rsid w:val="003236E0"/>
    <w:rsid w:val="00323F97"/>
    <w:rsid w:val="0032422E"/>
    <w:rsid w:val="00327742"/>
    <w:rsid w:val="00343319"/>
    <w:rsid w:val="003644AC"/>
    <w:rsid w:val="003655A8"/>
    <w:rsid w:val="00366502"/>
    <w:rsid w:val="0037387D"/>
    <w:rsid w:val="00381833"/>
    <w:rsid w:val="0038394B"/>
    <w:rsid w:val="003922EE"/>
    <w:rsid w:val="00396497"/>
    <w:rsid w:val="0039756C"/>
    <w:rsid w:val="003A32D9"/>
    <w:rsid w:val="003A7672"/>
    <w:rsid w:val="003A7BF7"/>
    <w:rsid w:val="003B1336"/>
    <w:rsid w:val="003B276D"/>
    <w:rsid w:val="003B3241"/>
    <w:rsid w:val="003B5989"/>
    <w:rsid w:val="003C67C9"/>
    <w:rsid w:val="003D03B0"/>
    <w:rsid w:val="003D3011"/>
    <w:rsid w:val="003D4859"/>
    <w:rsid w:val="003D57A0"/>
    <w:rsid w:val="003E0BC4"/>
    <w:rsid w:val="003E40F5"/>
    <w:rsid w:val="003E533E"/>
    <w:rsid w:val="003E62B1"/>
    <w:rsid w:val="003E67AC"/>
    <w:rsid w:val="003F0FFE"/>
    <w:rsid w:val="003F16E5"/>
    <w:rsid w:val="0040088D"/>
    <w:rsid w:val="00400CB4"/>
    <w:rsid w:val="00401F4A"/>
    <w:rsid w:val="004042B0"/>
    <w:rsid w:val="00410378"/>
    <w:rsid w:val="00434D3C"/>
    <w:rsid w:val="004406B9"/>
    <w:rsid w:val="00440D23"/>
    <w:rsid w:val="00441CFB"/>
    <w:rsid w:val="004449CC"/>
    <w:rsid w:val="00446A23"/>
    <w:rsid w:val="0045166C"/>
    <w:rsid w:val="00452D40"/>
    <w:rsid w:val="00456B75"/>
    <w:rsid w:val="004575C4"/>
    <w:rsid w:val="0046178E"/>
    <w:rsid w:val="00465EE5"/>
    <w:rsid w:val="00470C14"/>
    <w:rsid w:val="004713BC"/>
    <w:rsid w:val="00471D65"/>
    <w:rsid w:val="00477C70"/>
    <w:rsid w:val="00486DB2"/>
    <w:rsid w:val="004875D2"/>
    <w:rsid w:val="00492D7D"/>
    <w:rsid w:val="004973E0"/>
    <w:rsid w:val="004A18F9"/>
    <w:rsid w:val="004A59B0"/>
    <w:rsid w:val="004B3CDF"/>
    <w:rsid w:val="004B3E4C"/>
    <w:rsid w:val="004C0ADA"/>
    <w:rsid w:val="004C4A1F"/>
    <w:rsid w:val="004C5378"/>
    <w:rsid w:val="004C753B"/>
    <w:rsid w:val="004D5A17"/>
    <w:rsid w:val="004E1CBB"/>
    <w:rsid w:val="004E222A"/>
    <w:rsid w:val="004E2BCA"/>
    <w:rsid w:val="004E32C8"/>
    <w:rsid w:val="004E3D72"/>
    <w:rsid w:val="004E4594"/>
    <w:rsid w:val="004E4B29"/>
    <w:rsid w:val="004E6D6A"/>
    <w:rsid w:val="004F2648"/>
    <w:rsid w:val="004F3BA8"/>
    <w:rsid w:val="004F5F7D"/>
    <w:rsid w:val="00503AE7"/>
    <w:rsid w:val="00504413"/>
    <w:rsid w:val="00523EA7"/>
    <w:rsid w:val="00525FC9"/>
    <w:rsid w:val="00536EE5"/>
    <w:rsid w:val="00541A36"/>
    <w:rsid w:val="005420D1"/>
    <w:rsid w:val="00543E17"/>
    <w:rsid w:val="00544555"/>
    <w:rsid w:val="00553909"/>
    <w:rsid w:val="00554D8F"/>
    <w:rsid w:val="00560A27"/>
    <w:rsid w:val="00561A76"/>
    <w:rsid w:val="00566D93"/>
    <w:rsid w:val="005806D0"/>
    <w:rsid w:val="005834A0"/>
    <w:rsid w:val="005849F1"/>
    <w:rsid w:val="005A3AF0"/>
    <w:rsid w:val="005A4821"/>
    <w:rsid w:val="005B0989"/>
    <w:rsid w:val="005B7136"/>
    <w:rsid w:val="005D322D"/>
    <w:rsid w:val="005E15C1"/>
    <w:rsid w:val="005E3DF2"/>
    <w:rsid w:val="005E566E"/>
    <w:rsid w:val="005F4C41"/>
    <w:rsid w:val="005F7822"/>
    <w:rsid w:val="006074C2"/>
    <w:rsid w:val="00611242"/>
    <w:rsid w:val="00616102"/>
    <w:rsid w:val="00622CBE"/>
    <w:rsid w:val="00625EC6"/>
    <w:rsid w:val="00632275"/>
    <w:rsid w:val="006343C5"/>
    <w:rsid w:val="00650E8A"/>
    <w:rsid w:val="006550AC"/>
    <w:rsid w:val="006572E8"/>
    <w:rsid w:val="006625DD"/>
    <w:rsid w:val="006656C3"/>
    <w:rsid w:val="00676899"/>
    <w:rsid w:val="00681EC9"/>
    <w:rsid w:val="0068248B"/>
    <w:rsid w:val="00683CA0"/>
    <w:rsid w:val="00696119"/>
    <w:rsid w:val="00696D0F"/>
    <w:rsid w:val="006A0CE5"/>
    <w:rsid w:val="006A2736"/>
    <w:rsid w:val="006A31B3"/>
    <w:rsid w:val="006B4551"/>
    <w:rsid w:val="006C5025"/>
    <w:rsid w:val="006D31FD"/>
    <w:rsid w:val="006D4350"/>
    <w:rsid w:val="006D5FE7"/>
    <w:rsid w:val="006E0ADA"/>
    <w:rsid w:val="006E0F96"/>
    <w:rsid w:val="006E1DB6"/>
    <w:rsid w:val="006E3742"/>
    <w:rsid w:val="006E44F5"/>
    <w:rsid w:val="006E5929"/>
    <w:rsid w:val="00703E6A"/>
    <w:rsid w:val="007071AD"/>
    <w:rsid w:val="0071267B"/>
    <w:rsid w:val="0074241A"/>
    <w:rsid w:val="00745451"/>
    <w:rsid w:val="007537C6"/>
    <w:rsid w:val="00756031"/>
    <w:rsid w:val="00757D02"/>
    <w:rsid w:val="00763000"/>
    <w:rsid w:val="007775D7"/>
    <w:rsid w:val="00782605"/>
    <w:rsid w:val="00783100"/>
    <w:rsid w:val="00793087"/>
    <w:rsid w:val="00793E59"/>
    <w:rsid w:val="007A0A6E"/>
    <w:rsid w:val="007B0FCD"/>
    <w:rsid w:val="007B2D9A"/>
    <w:rsid w:val="007B4289"/>
    <w:rsid w:val="007B470E"/>
    <w:rsid w:val="007B5130"/>
    <w:rsid w:val="007C5E44"/>
    <w:rsid w:val="007D4EBC"/>
    <w:rsid w:val="007E1852"/>
    <w:rsid w:val="00803886"/>
    <w:rsid w:val="00811A27"/>
    <w:rsid w:val="008127A3"/>
    <w:rsid w:val="00817D20"/>
    <w:rsid w:val="008251B5"/>
    <w:rsid w:val="00831191"/>
    <w:rsid w:val="00832299"/>
    <w:rsid w:val="00842218"/>
    <w:rsid w:val="008459FE"/>
    <w:rsid w:val="00847A4E"/>
    <w:rsid w:val="00851BB8"/>
    <w:rsid w:val="008813FC"/>
    <w:rsid w:val="0089147C"/>
    <w:rsid w:val="008A156A"/>
    <w:rsid w:val="008A55D4"/>
    <w:rsid w:val="008B527E"/>
    <w:rsid w:val="008B5A7E"/>
    <w:rsid w:val="008C3AE6"/>
    <w:rsid w:val="008D3760"/>
    <w:rsid w:val="008E7382"/>
    <w:rsid w:val="008F1E4F"/>
    <w:rsid w:val="008F5FDB"/>
    <w:rsid w:val="008F7F05"/>
    <w:rsid w:val="0090309C"/>
    <w:rsid w:val="0090712B"/>
    <w:rsid w:val="00907451"/>
    <w:rsid w:val="009105B4"/>
    <w:rsid w:val="00913031"/>
    <w:rsid w:val="00913FB7"/>
    <w:rsid w:val="00917C4E"/>
    <w:rsid w:val="009211F9"/>
    <w:rsid w:val="0092379D"/>
    <w:rsid w:val="00931415"/>
    <w:rsid w:val="00931841"/>
    <w:rsid w:val="00934C85"/>
    <w:rsid w:val="0093652D"/>
    <w:rsid w:val="00937670"/>
    <w:rsid w:val="00937916"/>
    <w:rsid w:val="0095316B"/>
    <w:rsid w:val="00966828"/>
    <w:rsid w:val="00971E55"/>
    <w:rsid w:val="00973F8D"/>
    <w:rsid w:val="009801C4"/>
    <w:rsid w:val="0098456A"/>
    <w:rsid w:val="00987A91"/>
    <w:rsid w:val="00987C85"/>
    <w:rsid w:val="00993972"/>
    <w:rsid w:val="00993CDE"/>
    <w:rsid w:val="00997110"/>
    <w:rsid w:val="009A3029"/>
    <w:rsid w:val="009A43E5"/>
    <w:rsid w:val="009A4D30"/>
    <w:rsid w:val="009B2524"/>
    <w:rsid w:val="009B5086"/>
    <w:rsid w:val="009B7C98"/>
    <w:rsid w:val="009D0147"/>
    <w:rsid w:val="009D40C0"/>
    <w:rsid w:val="009E033B"/>
    <w:rsid w:val="009E3414"/>
    <w:rsid w:val="009E3D0F"/>
    <w:rsid w:val="009E5DCF"/>
    <w:rsid w:val="009F04E0"/>
    <w:rsid w:val="009F3E39"/>
    <w:rsid w:val="009F6ED0"/>
    <w:rsid w:val="009F7664"/>
    <w:rsid w:val="00A00B7D"/>
    <w:rsid w:val="00A14B5B"/>
    <w:rsid w:val="00A15194"/>
    <w:rsid w:val="00A2170F"/>
    <w:rsid w:val="00A23A33"/>
    <w:rsid w:val="00A32C46"/>
    <w:rsid w:val="00A344AA"/>
    <w:rsid w:val="00A3689E"/>
    <w:rsid w:val="00A455E9"/>
    <w:rsid w:val="00A6292D"/>
    <w:rsid w:val="00A706E1"/>
    <w:rsid w:val="00A7774F"/>
    <w:rsid w:val="00A8409A"/>
    <w:rsid w:val="00A8592B"/>
    <w:rsid w:val="00A86A3D"/>
    <w:rsid w:val="00A91114"/>
    <w:rsid w:val="00A96E18"/>
    <w:rsid w:val="00A97051"/>
    <w:rsid w:val="00AA54C3"/>
    <w:rsid w:val="00AA5531"/>
    <w:rsid w:val="00AA700B"/>
    <w:rsid w:val="00AB0CA5"/>
    <w:rsid w:val="00AB4C35"/>
    <w:rsid w:val="00AB5C9B"/>
    <w:rsid w:val="00AD1781"/>
    <w:rsid w:val="00AD1D8C"/>
    <w:rsid w:val="00B014D5"/>
    <w:rsid w:val="00B046CB"/>
    <w:rsid w:val="00B04CAA"/>
    <w:rsid w:val="00B05625"/>
    <w:rsid w:val="00B156F7"/>
    <w:rsid w:val="00B17A23"/>
    <w:rsid w:val="00B24E6B"/>
    <w:rsid w:val="00B26E38"/>
    <w:rsid w:val="00B27297"/>
    <w:rsid w:val="00B35697"/>
    <w:rsid w:val="00B36972"/>
    <w:rsid w:val="00B372C6"/>
    <w:rsid w:val="00B41FAB"/>
    <w:rsid w:val="00B46446"/>
    <w:rsid w:val="00B47805"/>
    <w:rsid w:val="00B51591"/>
    <w:rsid w:val="00B5468B"/>
    <w:rsid w:val="00B56B1C"/>
    <w:rsid w:val="00B60141"/>
    <w:rsid w:val="00B62BCF"/>
    <w:rsid w:val="00B66E57"/>
    <w:rsid w:val="00B66F1F"/>
    <w:rsid w:val="00B72A09"/>
    <w:rsid w:val="00B72D10"/>
    <w:rsid w:val="00B8123E"/>
    <w:rsid w:val="00B83066"/>
    <w:rsid w:val="00B845D0"/>
    <w:rsid w:val="00B8650F"/>
    <w:rsid w:val="00B87F58"/>
    <w:rsid w:val="00B90E81"/>
    <w:rsid w:val="00B92246"/>
    <w:rsid w:val="00B95BE1"/>
    <w:rsid w:val="00B95E1A"/>
    <w:rsid w:val="00B96C92"/>
    <w:rsid w:val="00BA5904"/>
    <w:rsid w:val="00BA69CE"/>
    <w:rsid w:val="00BB0AA6"/>
    <w:rsid w:val="00BB3994"/>
    <w:rsid w:val="00BC784E"/>
    <w:rsid w:val="00BD49B3"/>
    <w:rsid w:val="00BE21CE"/>
    <w:rsid w:val="00BF414F"/>
    <w:rsid w:val="00C114C5"/>
    <w:rsid w:val="00C11655"/>
    <w:rsid w:val="00C126A7"/>
    <w:rsid w:val="00C170DE"/>
    <w:rsid w:val="00C229FB"/>
    <w:rsid w:val="00C342A3"/>
    <w:rsid w:val="00C4385F"/>
    <w:rsid w:val="00C45001"/>
    <w:rsid w:val="00C5304C"/>
    <w:rsid w:val="00C545EB"/>
    <w:rsid w:val="00C60DF6"/>
    <w:rsid w:val="00C70934"/>
    <w:rsid w:val="00C74320"/>
    <w:rsid w:val="00C7587F"/>
    <w:rsid w:val="00C75D46"/>
    <w:rsid w:val="00C829B2"/>
    <w:rsid w:val="00C85D0D"/>
    <w:rsid w:val="00C86692"/>
    <w:rsid w:val="00C90B53"/>
    <w:rsid w:val="00C95998"/>
    <w:rsid w:val="00CA0218"/>
    <w:rsid w:val="00CA6427"/>
    <w:rsid w:val="00CA6530"/>
    <w:rsid w:val="00CB06E3"/>
    <w:rsid w:val="00CC3FC5"/>
    <w:rsid w:val="00CD0DDC"/>
    <w:rsid w:val="00CD1CA6"/>
    <w:rsid w:val="00CD78C2"/>
    <w:rsid w:val="00CE31A9"/>
    <w:rsid w:val="00CE40E5"/>
    <w:rsid w:val="00CE6FC5"/>
    <w:rsid w:val="00D00B18"/>
    <w:rsid w:val="00D11620"/>
    <w:rsid w:val="00D300F8"/>
    <w:rsid w:val="00D3361B"/>
    <w:rsid w:val="00D372EF"/>
    <w:rsid w:val="00D37FEE"/>
    <w:rsid w:val="00D41CEE"/>
    <w:rsid w:val="00D424CA"/>
    <w:rsid w:val="00D5413C"/>
    <w:rsid w:val="00D56626"/>
    <w:rsid w:val="00D6176E"/>
    <w:rsid w:val="00D654F5"/>
    <w:rsid w:val="00D72FC4"/>
    <w:rsid w:val="00D81E44"/>
    <w:rsid w:val="00D87B62"/>
    <w:rsid w:val="00D92FB8"/>
    <w:rsid w:val="00D93C30"/>
    <w:rsid w:val="00DA45E0"/>
    <w:rsid w:val="00DB0D99"/>
    <w:rsid w:val="00DB1CE8"/>
    <w:rsid w:val="00DB38DB"/>
    <w:rsid w:val="00DC4C72"/>
    <w:rsid w:val="00DC7042"/>
    <w:rsid w:val="00DD12E4"/>
    <w:rsid w:val="00DD1825"/>
    <w:rsid w:val="00DE3BE5"/>
    <w:rsid w:val="00DF0BF4"/>
    <w:rsid w:val="00DF14F9"/>
    <w:rsid w:val="00DF7E2B"/>
    <w:rsid w:val="00E04631"/>
    <w:rsid w:val="00E10387"/>
    <w:rsid w:val="00E2708E"/>
    <w:rsid w:val="00E375FB"/>
    <w:rsid w:val="00E53363"/>
    <w:rsid w:val="00E5475B"/>
    <w:rsid w:val="00E700B6"/>
    <w:rsid w:val="00E70557"/>
    <w:rsid w:val="00E72C10"/>
    <w:rsid w:val="00E80195"/>
    <w:rsid w:val="00E81642"/>
    <w:rsid w:val="00EC0D13"/>
    <w:rsid w:val="00EC1DD0"/>
    <w:rsid w:val="00ED03DB"/>
    <w:rsid w:val="00ED1390"/>
    <w:rsid w:val="00ED6BE8"/>
    <w:rsid w:val="00ED7EE9"/>
    <w:rsid w:val="00EE084E"/>
    <w:rsid w:val="00EE7157"/>
    <w:rsid w:val="00F04D0D"/>
    <w:rsid w:val="00F04E2A"/>
    <w:rsid w:val="00F06CA7"/>
    <w:rsid w:val="00F12579"/>
    <w:rsid w:val="00F223A7"/>
    <w:rsid w:val="00F234CE"/>
    <w:rsid w:val="00F30C41"/>
    <w:rsid w:val="00F35333"/>
    <w:rsid w:val="00F359B8"/>
    <w:rsid w:val="00F36631"/>
    <w:rsid w:val="00F370B9"/>
    <w:rsid w:val="00F42A85"/>
    <w:rsid w:val="00F43C75"/>
    <w:rsid w:val="00F53146"/>
    <w:rsid w:val="00F57841"/>
    <w:rsid w:val="00F77B1F"/>
    <w:rsid w:val="00F902C4"/>
    <w:rsid w:val="00F91DC0"/>
    <w:rsid w:val="00F94E2E"/>
    <w:rsid w:val="00F97A80"/>
    <w:rsid w:val="00FA0267"/>
    <w:rsid w:val="00FA0668"/>
    <w:rsid w:val="00FB482B"/>
    <w:rsid w:val="00FB5088"/>
    <w:rsid w:val="00FD3DC3"/>
    <w:rsid w:val="00FE4AB4"/>
    <w:rsid w:val="00FE709E"/>
    <w:rsid w:val="00FF3124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DA3A"/>
  <w15:chartTrackingRefBased/>
  <w15:docId w15:val="{8B10CDC6-6B90-4397-803E-EE63495E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4AF1"/>
    <w:rPr>
      <w:rFonts w:ascii="Arial" w:hAnsi="Arial"/>
      <w:color w:val="000000" w:themeColor="text1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242"/>
    <w:pPr>
      <w:spacing w:after="0" w:line="240" w:lineRule="auto"/>
    </w:pPr>
    <w:rPr>
      <w:rFonts w:ascii="Arial" w:hAnsi="Arial"/>
      <w:color w:val="000000" w:themeColor="text1"/>
      <w:sz w:val="20"/>
    </w:rPr>
  </w:style>
  <w:style w:type="character" w:styleId="Hyperlink">
    <w:name w:val="Hyperlink"/>
    <w:basedOn w:val="Absatz-Standardschriftart"/>
    <w:uiPriority w:val="99"/>
    <w:unhideWhenUsed/>
    <w:rsid w:val="003236E0"/>
    <w:rPr>
      <w:strike w:val="0"/>
      <w:dstrike w:val="0"/>
      <w:color w:val="0066FF"/>
      <w:u w:val="none"/>
      <w:effect w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5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0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Xos11t_uyp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0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3529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Kopf</dc:creator>
  <cp:keywords/>
  <dc:description/>
  <cp:lastModifiedBy>Andreas Wurm</cp:lastModifiedBy>
  <cp:revision>2</cp:revision>
  <cp:lastPrinted>2020-12-15T15:37:00Z</cp:lastPrinted>
  <dcterms:created xsi:type="dcterms:W3CDTF">2020-12-17T08:29:00Z</dcterms:created>
  <dcterms:modified xsi:type="dcterms:W3CDTF">2020-12-17T08:29:00Z</dcterms:modified>
</cp:coreProperties>
</file>